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headerReference w:type="default" r:id="rId7"/>
          <w:footerReference w:type="default" r:id="rId8"/>
          <w:pgSz w:w="12240" w:h="15840"/>
          <w:pgMar w:top="2520" w:right="1440" w:bottom="1800" w:left="1440" w:header="720" w:footer="720" w:gutter="0"/>
          <w:pgNumType w:start="1"/>
          <w:cols w:space="720"/>
          <w:noEndnote/>
        </w:sectPr>
      </w:pPr>
    </w:p>
    <w:p w:rsidR="00000000" w:rsidRDefault="00F53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Document0zzSDUNumber1"/>
      <w:bookmarkEnd w:id="0"/>
      <w:r>
        <w:rPr>
          <w:rFonts w:ascii="Times New Roman" w:hAnsi="Times New Roman"/>
          <w:color w:val="000000"/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0.2pt">
            <v:imagedata r:id="rId9" o:title=""/>
          </v:shape>
        </w:pic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Only the Westlaw citation is currently available.This case was not selected for publication in the Federal Reporter.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No</w:t>
      </w:r>
      <w:r>
        <w:rPr>
          <w:rFonts w:ascii="Times New Roman" w:hAnsi="Times New Roman"/>
          <w:color w:val="000000"/>
          <w:sz w:val="20"/>
          <w:szCs w:val="20"/>
        </w:rPr>
        <w:t>t for Publication in West's Federal Reporter See Fed. Rule of Appellate Procedure 32.1 generally g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verning citation of judicial decisions issued on or after Jan. 1, 2007. See also Third Circuit LAR, App. I, IOP 5.7. (Find CTA3 App. I, IOP 5.7)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United Stat</w:t>
      </w:r>
      <w:r>
        <w:rPr>
          <w:rFonts w:ascii="Times New Roman" w:hAnsi="Times New Roman"/>
          <w:color w:val="000000"/>
          <w:sz w:val="20"/>
          <w:szCs w:val="20"/>
        </w:rPr>
        <w:t>es Court of Appeals,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Third Circuit.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Bernardo CASTILLO, Petitioner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v.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ATTORNEY GENERAL OF the UNITED STATES.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No. 09</w:t>
      </w:r>
      <w:r>
        <w:rPr>
          <w:rFonts w:ascii="Times New Roman" w:hAnsi="Times New Roman"/>
          <w:color w:val="000000"/>
          <w:sz w:val="20"/>
          <w:szCs w:val="20"/>
        </w:rPr>
        <w:t>–</w:t>
      </w:r>
      <w:r>
        <w:rPr>
          <w:rFonts w:ascii="Times New Roman" w:hAnsi="Times New Roman"/>
          <w:color w:val="000000"/>
          <w:sz w:val="20"/>
          <w:szCs w:val="20"/>
        </w:rPr>
        <w:t>2594.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Argued Dec. 14, 2010.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Opinion Filed Jan. 11, 2011.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Background:</w:t>
      </w:r>
      <w:r>
        <w:rPr>
          <w:rFonts w:ascii="Times New Roman" w:hAnsi="Times New Roman"/>
          <w:color w:val="000000"/>
          <w:sz w:val="20"/>
          <w:szCs w:val="20"/>
        </w:rPr>
        <w:t xml:space="preserve"> Alien, a native and citizen of Peru, petitioned for review of a decision of the Board of Immigration Appeals (BIA), Henry S. Dogin, J., di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missing his appeal from an Immigration Judge's (IJ) denial of his application for cancellation of removal.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Holding:</w:t>
      </w:r>
      <w:r>
        <w:rPr>
          <w:rFonts w:ascii="Times New Roman" w:hAnsi="Times New Roman"/>
          <w:color w:val="000000"/>
          <w:sz w:val="20"/>
          <w:szCs w:val="20"/>
        </w:rPr>
        <w:t xml:space="preserve"> The Court of Appeals, </w:t>
      </w:r>
      <w:hyperlink r:id="rId10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Stapleton</w:t>
        </w:r>
      </w:hyperlink>
      <w:r>
        <w:rPr>
          <w:rFonts w:ascii="Times New Roman" w:hAnsi="Times New Roman"/>
          <w:color w:val="000000"/>
          <w:sz w:val="20"/>
          <w:szCs w:val="20"/>
        </w:rPr>
        <w:t>, Circuit Judge, held that remand for further proceedings was warranted to determine whether alien's shoplif</w:t>
      </w:r>
      <w:r>
        <w:rPr>
          <w:rFonts w:ascii="Times New Roman" w:hAnsi="Times New Roman"/>
          <w:color w:val="000000"/>
          <w:sz w:val="20"/>
          <w:szCs w:val="20"/>
        </w:rPr>
        <w:t xml:space="preserve">ting conviction was for a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crime.</w:t>
      </w:r>
      <w:r>
        <w:rPr>
          <w:rFonts w:ascii="Times New Roman" w:hAnsi="Times New Roman"/>
          <w:color w:val="000000"/>
          <w:sz w:val="20"/>
          <w:szCs w:val="20"/>
        </w:rPr>
        <w:t>”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Petition granted.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West Headnotes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Document1zz2024346587"/>
      <w:bookmarkEnd w:id="1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Aliens, Immigration, and Citizenship 24 </w:t>
      </w:r>
      <w:r w:rsidR="00F532FB">
        <w:rPr>
          <w:rFonts w:ascii="Times New Roman" w:hAnsi="Times New Roman"/>
          <w:b/>
          <w:bCs/>
          <w:color w:val="000000"/>
          <w:sz w:val="20"/>
          <w:szCs w:val="20"/>
        </w:rPr>
        <w:pict>
          <v:shape id="_x0000_i1026" type="#_x0000_t75" style="width:19.8pt;height:10.2pt">
            <v:imagedata r:id="rId11" o:title=""/>
          </v:shape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411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24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Aliens, Immigration, and Citizenship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     </w:t>
      </w:r>
      <w:hyperlink r:id="rId13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24V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Denial of Admission and Removal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           </w:t>
      </w:r>
      <w:hyperlink r:id="rId14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24V(G)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Judicial Review or Intervention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               </w:t>
      </w:r>
      <w:hyperlink r:id="rId15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24k406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Determination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                </w:t>
      </w:r>
      <w:r>
        <w:rPr>
          <w:rFonts w:ascii="Times New Roman" w:hAnsi="Times New Roman"/>
          <w:color w:val="000000"/>
          <w:sz w:val="20"/>
          <w:szCs w:val="20"/>
        </w:rPr>
        <w:t xml:space="preserve">     </w:t>
      </w:r>
      <w:hyperlink r:id="rId16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24k411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k. Remand. </w:t>
      </w:r>
      <w:hyperlink r:id="rId17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Most Cited Cases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Document1zzIa99d4636867f11e08b05fdf15589"/>
      <w:bookmarkEnd w:id="2"/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Remand of a removal proceeding for further proceedings was warranted where the Board of I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migration Appeals (BIA), in ruling that alien's sho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lastRenderedPageBreak/>
        <w:t>lifting conviction was fo</w:t>
      </w:r>
      <w:r>
        <w:rPr>
          <w:rFonts w:ascii="Times New Roman" w:hAnsi="Times New Roman"/>
          <w:color w:val="000000"/>
          <w:sz w:val="20"/>
          <w:szCs w:val="20"/>
        </w:rPr>
        <w:t xml:space="preserve">r a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crime,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applied the then-current version of a New Jersey shoplifting st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tute, rather than the version in effect at the time of the alien's offense, under which all four gradations of the offense were disorderly persons offenses. Immigration and Nation</w:t>
      </w:r>
      <w:r>
        <w:rPr>
          <w:rFonts w:ascii="Times New Roman" w:hAnsi="Times New Roman"/>
          <w:color w:val="000000"/>
          <w:sz w:val="20"/>
          <w:szCs w:val="20"/>
        </w:rPr>
        <w:t xml:space="preserve">ality Act, § 237(a)(2)(A)(ii), </w:t>
      </w:r>
      <w:hyperlink r:id="rId18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8 U.S.C.A. § 1227(a)(2)(A)(ii)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; </w:t>
      </w:r>
      <w:hyperlink r:id="rId19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N.J.S.A. 2C:20–11</w:t>
        </w:r>
      </w:hyperlink>
      <w:r>
        <w:rPr>
          <w:rFonts w:ascii="Times New Roman" w:hAnsi="Times New Roman"/>
          <w:color w:val="000000"/>
          <w:sz w:val="20"/>
          <w:szCs w:val="20"/>
        </w:rPr>
        <w:t>(d) (1999).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On Petition for Review of an Order of the Board of Immigration Appeals, No. A090</w:t>
      </w:r>
      <w:r>
        <w:rPr>
          <w:rFonts w:ascii="Times New Roman" w:hAnsi="Times New Roman"/>
          <w:color w:val="000000"/>
          <w:sz w:val="20"/>
          <w:szCs w:val="20"/>
        </w:rPr>
        <w:t>–</w:t>
      </w:r>
      <w:r>
        <w:rPr>
          <w:rFonts w:ascii="Times New Roman" w:hAnsi="Times New Roman"/>
          <w:color w:val="000000"/>
          <w:sz w:val="20"/>
          <w:szCs w:val="20"/>
        </w:rPr>
        <w:t>260</w:t>
      </w:r>
      <w:r>
        <w:rPr>
          <w:rFonts w:ascii="Times New Roman" w:hAnsi="Times New Roman"/>
          <w:color w:val="000000"/>
          <w:sz w:val="20"/>
          <w:szCs w:val="20"/>
        </w:rPr>
        <w:t>–</w:t>
      </w:r>
      <w:r>
        <w:rPr>
          <w:rFonts w:ascii="Times New Roman" w:hAnsi="Times New Roman"/>
          <w:color w:val="000000"/>
          <w:sz w:val="20"/>
          <w:szCs w:val="20"/>
        </w:rPr>
        <w:t>288, I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migr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tion Judge: Hon. Henry S. Dogin.</w:t>
      </w:r>
      <w:hyperlink r:id="rId20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Micaela M. Alv</w:t>
        </w:r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a</w:t>
        </w:r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rez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, Esq., </w:t>
      </w:r>
      <w:hyperlink r:id="rId21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Franci</w:t>
        </w:r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s X. Geier</w:t>
        </w:r>
      </w:hyperlink>
      <w:r>
        <w:rPr>
          <w:rFonts w:ascii="Times New Roman" w:hAnsi="Times New Roman"/>
          <w:color w:val="000000"/>
          <w:sz w:val="20"/>
          <w:szCs w:val="20"/>
        </w:rPr>
        <w:t>, Esq. (Argued), Attorneys for Petitioner.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22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A. Marisa Chun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, Esq. (Argued), U.S. Department of Justice, Washington, DC, and </w:t>
      </w:r>
      <w:hyperlink r:id="rId23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Cindy S. Ferrier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, Esq., R. Alexander Goring, Esq., </w:t>
      </w:r>
      <w:hyperlink r:id="rId24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Eric H. Holder, Jr.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, Esq., </w:t>
      </w:r>
      <w:hyperlink r:id="rId25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Thomas W. Hussey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, Esq., Justin R. Markel, Esq., </w:t>
      </w:r>
      <w:hyperlink r:id="rId26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Keith I. McManus</w:t>
        </w:r>
      </w:hyperlink>
      <w:r>
        <w:rPr>
          <w:rFonts w:ascii="Times New Roman" w:hAnsi="Times New Roman"/>
          <w:color w:val="000000"/>
          <w:sz w:val="20"/>
          <w:szCs w:val="20"/>
        </w:rPr>
        <w:t>, Esq., Phillip M. Truman, Esq., U.S. Department of Justice, Office of Imm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gration Litigation, Civil Division, Washington, DC, Attorneys for Respondent.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Before: </w:t>
      </w:r>
      <w:hyperlink r:id="rId27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SLOVITER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hyperlink r:id="rId28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GREENAWAY, JR.</w:t>
        </w:r>
      </w:hyperlink>
      <w:r>
        <w:rPr>
          <w:rFonts w:ascii="Times New Roman" w:hAnsi="Times New Roman"/>
          <w:color w:val="000000"/>
          <w:sz w:val="20"/>
          <w:szCs w:val="20"/>
        </w:rPr>
        <w:t>, an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hyperlink r:id="rId29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STAPLETON</w:t>
        </w:r>
      </w:hyperlink>
      <w:r>
        <w:rPr>
          <w:rFonts w:ascii="Times New Roman" w:hAnsi="Times New Roman"/>
          <w:color w:val="000000"/>
          <w:sz w:val="20"/>
          <w:szCs w:val="20"/>
        </w:rPr>
        <w:t>, Circuit Judges.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OPINION OF THE COURT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30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STAPLETON</w:t>
        </w:r>
      </w:hyperlink>
      <w:r>
        <w:rPr>
          <w:rFonts w:ascii="Times New Roman" w:hAnsi="Times New Roman"/>
          <w:color w:val="000000"/>
          <w:sz w:val="20"/>
          <w:szCs w:val="20"/>
        </w:rPr>
        <w:t>, Circuit Judge: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*1</w:t>
      </w:r>
      <w:r>
        <w:rPr>
          <w:rFonts w:ascii="Times New Roman" w:hAnsi="Times New Roman"/>
          <w:color w:val="000000"/>
          <w:sz w:val="20"/>
          <w:szCs w:val="20"/>
        </w:rPr>
        <w:t xml:space="preserve"> Bernardo Castillo, a native and citizen of Peru, has filed a petition for review of a decision of the Board of </w:t>
      </w:r>
      <w:r>
        <w:rPr>
          <w:rFonts w:ascii="Times New Roman" w:hAnsi="Times New Roman"/>
          <w:color w:val="000000"/>
          <w:sz w:val="20"/>
          <w:szCs w:val="20"/>
        </w:rPr>
        <w:t>Immigration Appeals (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BIA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>). We will grant the petition.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I.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Castillo entered the United States in 1985 without inspection, became a temporary resident in 1988, and adjusted to lawful permanent resident status in D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cember 1990. Prior to that adjustment, ho</w:t>
      </w:r>
      <w:r>
        <w:rPr>
          <w:rFonts w:ascii="Times New Roman" w:hAnsi="Times New Roman"/>
          <w:color w:val="000000"/>
          <w:sz w:val="20"/>
          <w:szCs w:val="20"/>
        </w:rPr>
        <w:t>wever, in 1989, he was convicted in state court in New Jersey of receiving stolen property. In January, 1994, a New Jersey court convicted him of having committed a violation of New Jersey's shoplifting statute on July 30, 1993. He was thereafter convicted</w:t>
      </w:r>
      <w:r>
        <w:rPr>
          <w:rFonts w:ascii="Times New Roman" w:hAnsi="Times New Roman"/>
          <w:color w:val="000000"/>
          <w:sz w:val="20"/>
          <w:szCs w:val="20"/>
        </w:rPr>
        <w:t xml:space="preserve"> of receiving stolen property three more times and of contempt on another occasion. In light of these convictions, the Department of Homeland Security placed Castillo in removal proceedings.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Before the Immigration Judge (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IJ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>), Castillo admitted his crimi</w:t>
      </w:r>
      <w:r>
        <w:rPr>
          <w:rFonts w:ascii="Times New Roman" w:hAnsi="Times New Roman"/>
          <w:color w:val="000000"/>
          <w:sz w:val="20"/>
          <w:szCs w:val="20"/>
        </w:rPr>
        <w:t>nal history and conceded 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mov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bility, but argued eligibility for,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inter alia,</w:t>
      </w:r>
      <w:r>
        <w:rPr>
          <w:rFonts w:ascii="Times New Roman" w:hAnsi="Times New Roman"/>
          <w:color w:val="000000"/>
          <w:sz w:val="20"/>
          <w:szCs w:val="20"/>
        </w:rPr>
        <w:t xml:space="preserve"> cancellation of removal pursuant to Section 240A(a) of the Imm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gration and Nationality Act (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INA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), </w:t>
      </w:r>
      <w:hyperlink r:id="rId31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8 U.S.C. § 1229b(a)</w:t>
        </w:r>
      </w:hyperlink>
      <w:r>
        <w:rPr>
          <w:rFonts w:ascii="Times New Roman" w:hAnsi="Times New Roman"/>
          <w:color w:val="000000"/>
          <w:sz w:val="20"/>
          <w:szCs w:val="20"/>
        </w:rPr>
        <w:t>. The IJ denied relief and ordered Castillo removed from the United States. Castillo appealed, and the BIA dismissed his appeal.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II.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We have j</w:t>
      </w:r>
      <w:r>
        <w:rPr>
          <w:rFonts w:ascii="Times New Roman" w:hAnsi="Times New Roman"/>
          <w:color w:val="000000"/>
          <w:sz w:val="20"/>
          <w:szCs w:val="20"/>
        </w:rPr>
        <w:t xml:space="preserve">urisdiction over the petition for review pursuant to </w:t>
      </w:r>
      <w:hyperlink r:id="rId32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8 U.S.C. § 1252(a)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 xml:space="preserve">Because the </w:t>
      </w:r>
      <w:r>
        <w:rPr>
          <w:rFonts w:ascii="Times New Roman" w:hAnsi="Times New Roman"/>
          <w:color w:val="000000"/>
          <w:sz w:val="20"/>
          <w:szCs w:val="20"/>
        </w:rPr>
        <w:t>BIA issued its own decision, we review that decision, and not that of the IJ.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33" w:history="1">
        <w:r>
          <w:rPr>
            <w:rFonts w:ascii="Times New Roman" w:hAnsi="Times New Roman"/>
            <w:i/>
            <w:iCs/>
            <w:color w:val="0000FF"/>
            <w:sz w:val="20"/>
            <w:szCs w:val="20"/>
            <w:u w:val="single"/>
          </w:rPr>
          <w:t>Sheriff v. Attorney Gen.,</w:t>
        </w:r>
      </w:hyperlink>
      <w:hyperlink r:id="rId34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 xml:space="preserve"> 587 F.3d 584, 588 (3d Cir.2009)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(citing </w:t>
      </w:r>
      <w:hyperlink r:id="rId35" w:history="1">
        <w:r>
          <w:rPr>
            <w:rFonts w:ascii="Times New Roman" w:hAnsi="Times New Roman"/>
            <w:i/>
            <w:iCs/>
            <w:color w:val="0000FF"/>
            <w:sz w:val="20"/>
            <w:szCs w:val="20"/>
            <w:u w:val="single"/>
          </w:rPr>
          <w:t>Ezeagwuna v. Ashcroft,</w:t>
        </w:r>
      </w:hyperlink>
      <w:hyperlink r:id="rId36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 xml:space="preserve"> 301 F.3d 116, 126 (3d Cir.2002)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).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The BIA's factual findings are reviewed for substantial evidence.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37" w:history="1">
        <w:r>
          <w:rPr>
            <w:rFonts w:ascii="Times New Roman" w:hAnsi="Times New Roman"/>
            <w:i/>
            <w:iCs/>
            <w:color w:val="0000FF"/>
            <w:sz w:val="20"/>
            <w:szCs w:val="20"/>
            <w:u w:val="single"/>
          </w:rPr>
          <w:t>Br</w:t>
        </w:r>
        <w:r>
          <w:rPr>
            <w:rFonts w:ascii="Times New Roman" w:hAnsi="Times New Roman"/>
            <w:i/>
            <w:iCs/>
            <w:color w:val="0000FF"/>
            <w:sz w:val="20"/>
            <w:szCs w:val="20"/>
            <w:u w:val="single"/>
          </w:rPr>
          <w:t>i</w:t>
        </w:r>
        <w:r>
          <w:rPr>
            <w:rFonts w:ascii="Times New Roman" w:hAnsi="Times New Roman"/>
            <w:i/>
            <w:iCs/>
            <w:color w:val="0000FF"/>
            <w:sz w:val="20"/>
            <w:szCs w:val="20"/>
            <w:u w:val="single"/>
          </w:rPr>
          <w:t>seno–Flores v. Attorney Gen.,</w:t>
        </w:r>
      </w:hyperlink>
      <w:hyperlink r:id="rId38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 xml:space="preserve"> 492 F.3d 226, 228 (3d Cir.2007)</w:t>
        </w:r>
      </w:hyperlink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This Court r</w:t>
      </w:r>
      <w:r>
        <w:rPr>
          <w:rFonts w:ascii="Times New Roman" w:hAnsi="Times New Roman"/>
          <w:color w:val="000000"/>
          <w:sz w:val="20"/>
          <w:szCs w:val="20"/>
        </w:rPr>
        <w:t>eviews the BIA's legal determin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tions de novo, subject to the principles of def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rence articulated in </w:t>
      </w:r>
      <w:hyperlink r:id="rId39" w:history="1">
        <w:r>
          <w:rPr>
            <w:rFonts w:ascii="Times New Roman" w:hAnsi="Times New Roman"/>
            <w:i/>
            <w:iCs/>
            <w:color w:val="0000FF"/>
            <w:sz w:val="20"/>
            <w:szCs w:val="20"/>
            <w:u w:val="single"/>
          </w:rPr>
          <w:t>Chevron U.S.A. Inc. v. NRDC,</w:t>
        </w:r>
      </w:hyperlink>
      <w:hyperlink r:id="rId40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 xml:space="preserve"> 467 U.S. 837, 844, 104 S.Ct. 2778, 81 L.Ed.2d 694 (1984)</w:t>
        </w:r>
      </w:hyperlink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41" w:history="1">
        <w:r>
          <w:rPr>
            <w:rFonts w:ascii="Times New Roman" w:hAnsi="Times New Roman"/>
            <w:i/>
            <w:iCs/>
            <w:color w:val="0000FF"/>
            <w:sz w:val="20"/>
            <w:szCs w:val="20"/>
            <w:u w:val="single"/>
          </w:rPr>
          <w:t>Id.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(citing </w:t>
      </w:r>
      <w:hyperlink r:id="rId42" w:history="1">
        <w:r>
          <w:rPr>
            <w:rFonts w:ascii="Times New Roman" w:hAnsi="Times New Roman"/>
            <w:i/>
            <w:iCs/>
            <w:color w:val="0000FF"/>
            <w:sz w:val="20"/>
            <w:szCs w:val="20"/>
            <w:u w:val="single"/>
          </w:rPr>
          <w:t>Wang v. Ashcroft,</w:t>
        </w:r>
      </w:hyperlink>
      <w:hyperlink r:id="rId43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 xml:space="preserve"> 368 F.3d 347, 349 (3d Cir.2004)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).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 xml:space="preserve">Accordingly, </w:t>
      </w:r>
      <w:r>
        <w:rPr>
          <w:rFonts w:ascii="Times New Roman" w:hAnsi="Times New Roman"/>
          <w:color w:val="000000"/>
          <w:sz w:val="20"/>
          <w:szCs w:val="20"/>
        </w:rPr>
        <w:t>‘</w:t>
      </w:r>
      <w:r>
        <w:rPr>
          <w:rFonts w:ascii="Times New Roman" w:hAnsi="Times New Roman"/>
          <w:color w:val="000000"/>
          <w:sz w:val="20"/>
          <w:szCs w:val="20"/>
        </w:rPr>
        <w:t>if the intent of Congress is clear, that is the end of the matter; for the court, as well as the agency, must give effect to t</w:t>
      </w:r>
      <w:r>
        <w:rPr>
          <w:rFonts w:ascii="Times New Roman" w:hAnsi="Times New Roman"/>
          <w:color w:val="000000"/>
          <w:sz w:val="20"/>
          <w:szCs w:val="20"/>
        </w:rPr>
        <w:t>he unambiguously expressed intent of Congress.</w:t>
      </w:r>
      <w:r>
        <w:rPr>
          <w:rFonts w:ascii="Times New Roman" w:hAnsi="Times New Roman"/>
          <w:color w:val="000000"/>
          <w:sz w:val="20"/>
          <w:szCs w:val="20"/>
        </w:rPr>
        <w:t>’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   </w:t>
      </w:r>
      <w:hyperlink r:id="rId44" w:history="1">
        <w:r>
          <w:rPr>
            <w:rFonts w:ascii="Times New Roman" w:hAnsi="Times New Roman"/>
            <w:i/>
            <w:iCs/>
            <w:color w:val="0000FF"/>
            <w:sz w:val="20"/>
            <w:szCs w:val="20"/>
            <w:u w:val="single"/>
          </w:rPr>
          <w:t>Acosta v. Ashcroft,</w:t>
        </w:r>
      </w:hyperlink>
      <w:hyperlink r:id="rId45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 xml:space="preserve"> 341 F.3d 218, 222 (3d Cir.2003)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(quoting </w:t>
      </w:r>
      <w:hyperlink r:id="rId46" w:history="1">
        <w:r>
          <w:rPr>
            <w:rFonts w:ascii="Times New Roman" w:hAnsi="Times New Roman"/>
            <w:i/>
            <w:iCs/>
            <w:color w:val="0000FF"/>
            <w:sz w:val="20"/>
            <w:szCs w:val="20"/>
            <w:u w:val="single"/>
          </w:rPr>
          <w:t>Chevron,</w:t>
        </w:r>
      </w:hyperlink>
      <w:hyperlink r:id="rId47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 xml:space="preserve"> 467 U.S. at 842–43, 104 S.Ct. 2778).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On the other hand, if the statute is silent or ambiguous with respect to the spe</w:t>
      </w:r>
      <w:r>
        <w:rPr>
          <w:rFonts w:ascii="Times New Roman" w:hAnsi="Times New Roman"/>
          <w:color w:val="000000"/>
          <w:sz w:val="20"/>
          <w:szCs w:val="20"/>
        </w:rPr>
        <w:t>cific issue, the question for the court is whether the agency's answer is based on a permissible construction of the statute.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48" w:history="1">
        <w:r>
          <w:rPr>
            <w:rFonts w:ascii="Times New Roman" w:hAnsi="Times New Roman"/>
            <w:i/>
            <w:iCs/>
            <w:color w:val="0000FF"/>
            <w:sz w:val="20"/>
            <w:szCs w:val="20"/>
            <w:u w:val="single"/>
          </w:rPr>
          <w:t>Id.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(internal quotation and</w:t>
      </w:r>
      <w:r>
        <w:rPr>
          <w:rFonts w:ascii="Times New Roman" w:hAnsi="Times New Roman"/>
          <w:color w:val="000000"/>
          <w:sz w:val="20"/>
          <w:szCs w:val="20"/>
        </w:rPr>
        <w:t xml:space="preserve"> citation omitted).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 xml:space="preserve">In its interpretation of the INA, the BIA should be afforded </w:t>
      </w:r>
      <w:hyperlink r:id="rId49" w:history="1">
        <w:r>
          <w:rPr>
            <w:rFonts w:ascii="Times New Roman" w:hAnsi="Times New Roman"/>
            <w:i/>
            <w:iCs/>
            <w:color w:val="0000FF"/>
            <w:sz w:val="20"/>
            <w:szCs w:val="20"/>
            <w:u w:val="single"/>
          </w:rPr>
          <w:t>Chevron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deference as it gives ambiguous statutory terms concrete meaning</w:t>
      </w:r>
      <w:r>
        <w:rPr>
          <w:rFonts w:ascii="Times New Roman" w:hAnsi="Times New Roman"/>
          <w:color w:val="000000"/>
          <w:sz w:val="20"/>
          <w:szCs w:val="20"/>
        </w:rPr>
        <w:t xml:space="preserve"> through a process of case-by-case adjudic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tion.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50" w:history="1">
        <w:r>
          <w:rPr>
            <w:rFonts w:ascii="Times New Roman" w:hAnsi="Times New Roman"/>
            <w:i/>
            <w:iCs/>
            <w:color w:val="0000FF"/>
            <w:sz w:val="20"/>
            <w:szCs w:val="20"/>
            <w:u w:val="single"/>
          </w:rPr>
          <w:t>Id.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(internal quotations and citations omitted).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III.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Castillo challenges the BIA's ruling on his elig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bility for cancellation of removal pursuant to </w:t>
      </w:r>
      <w:hyperlink r:id="rId51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8 U.S.C. § 1229b(a)</w:t>
        </w:r>
      </w:hyperlink>
      <w:r>
        <w:rPr>
          <w:rFonts w:ascii="Times New Roman" w:hAnsi="Times New Roman"/>
          <w:color w:val="000000"/>
          <w:sz w:val="20"/>
          <w:szCs w:val="20"/>
        </w:rPr>
        <w:t>. That section prov</w:t>
      </w:r>
      <w:r>
        <w:rPr>
          <w:rFonts w:ascii="Times New Roman" w:hAnsi="Times New Roman"/>
          <w:color w:val="000000"/>
          <w:sz w:val="20"/>
          <w:szCs w:val="20"/>
        </w:rPr>
        <w:t xml:space="preserve">ides that the Attorney General may cancel the removal of an alien who (1) has been a lawful permanent resident for not less than five years, (2)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has resided in the United States co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tinuously for 7 years after having been admitted in any status,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and (3) h</w:t>
      </w:r>
      <w:r>
        <w:rPr>
          <w:rFonts w:ascii="Times New Roman" w:hAnsi="Times New Roman"/>
          <w:color w:val="000000"/>
          <w:sz w:val="20"/>
          <w:szCs w:val="20"/>
        </w:rPr>
        <w:t>as not been convicted of an aggr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vated felony. </w:t>
      </w:r>
      <w:hyperlink r:id="rId52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8 U.S.C. § 1229b(a)</w:t>
        </w:r>
      </w:hyperlink>
      <w:r>
        <w:rPr>
          <w:rFonts w:ascii="Times New Roman" w:hAnsi="Times New Roman"/>
          <w:color w:val="000000"/>
          <w:sz w:val="20"/>
          <w:szCs w:val="20"/>
        </w:rPr>
        <w:t>. Continuous res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de</w:t>
      </w:r>
      <w:r>
        <w:rPr>
          <w:rFonts w:ascii="Times New Roman" w:hAnsi="Times New Roman"/>
          <w:color w:val="000000"/>
          <w:sz w:val="20"/>
          <w:szCs w:val="20"/>
        </w:rPr>
        <w:t xml:space="preserve">nce, however, ends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when the alien has committed an offense ... that renders the alien ... removable from the United States under section 237(a)(2)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of the INA, </w:t>
      </w:r>
      <w:hyperlink r:id="rId53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8 U.S.C. § 1227(a)(2)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hyperlink r:id="rId54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8 U.S.C. § 1229b(d)(1)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(B). Under </w:t>
      </w:r>
      <w:hyperlink r:id="rId55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8 U.S.C. § 1227(a)(2)(A)(ii)</w:t>
        </w:r>
      </w:hyperlink>
      <w:r>
        <w:rPr>
          <w:rFonts w:ascii="Times New Roman" w:hAnsi="Times New Roman"/>
          <w:color w:val="000000"/>
          <w:sz w:val="20"/>
          <w:szCs w:val="20"/>
        </w:rPr>
        <w:t>, an alien i</w:t>
      </w:r>
      <w:r>
        <w:rPr>
          <w:rFonts w:ascii="Times New Roman" w:hAnsi="Times New Roman"/>
          <w:color w:val="000000"/>
          <w:sz w:val="20"/>
          <w:szCs w:val="20"/>
        </w:rPr>
        <w:t>s 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movable,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inter alia,</w:t>
      </w:r>
      <w:r>
        <w:rPr>
          <w:rFonts w:ascii="Times New Roman" w:hAnsi="Times New Roman"/>
          <w:color w:val="000000"/>
          <w:sz w:val="20"/>
          <w:szCs w:val="20"/>
        </w:rPr>
        <w:t xml:space="preserve"> if he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is convicted of two or more crimes involving moral turpitude, not arising out of a single scheme of criminal misconduct.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The BIA determined that the shoplifting offense committed by Castillo on July 30, 1993, was his second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crime 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volving moral turpitude,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his first being his conviction for receipt of stolen property. Thus, ruled the BIA, Castillo was rendered removable u</w:t>
      </w:r>
      <w:r>
        <w:rPr>
          <w:rFonts w:ascii="Times New Roman" w:hAnsi="Times New Roman"/>
          <w:color w:val="000000"/>
          <w:sz w:val="20"/>
          <w:szCs w:val="20"/>
        </w:rPr>
        <w:t xml:space="preserve">nder </w:t>
      </w:r>
      <w:hyperlink r:id="rId56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8 U.S.C. § 1227(a)(2)(A)(ii)</w:t>
        </w:r>
      </w:hyperlink>
      <w:r>
        <w:rPr>
          <w:rFonts w:ascii="Times New Roman" w:hAnsi="Times New Roman"/>
          <w:color w:val="000000"/>
          <w:sz w:val="20"/>
          <w:szCs w:val="20"/>
        </w:rPr>
        <w:t>, and his period of continuous res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dence ended on Jul</w:t>
      </w:r>
      <w:r>
        <w:rPr>
          <w:rFonts w:ascii="Times New Roman" w:hAnsi="Times New Roman"/>
          <w:color w:val="000000"/>
          <w:sz w:val="20"/>
          <w:szCs w:val="20"/>
        </w:rPr>
        <w:t>y 30, 1993, short of the requisite seven years, given that he was admitted as a temporary resident in 1988.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*2</w:t>
      </w:r>
      <w:r>
        <w:rPr>
          <w:rFonts w:ascii="Times New Roman" w:hAnsi="Times New Roman"/>
          <w:color w:val="000000"/>
          <w:sz w:val="20"/>
          <w:szCs w:val="20"/>
        </w:rPr>
        <w:t xml:space="preserve"> Castillo does not maintain that the conduct proscribed by New Jersey's shoplifting statute fails to involve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moral turpitude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within the meaning</w:t>
      </w:r>
      <w:r>
        <w:rPr>
          <w:rFonts w:ascii="Times New Roman" w:hAnsi="Times New Roman"/>
          <w:color w:val="000000"/>
          <w:sz w:val="20"/>
          <w:szCs w:val="20"/>
        </w:rPr>
        <w:t xml:space="preserve"> of </w:t>
      </w:r>
      <w:hyperlink r:id="rId57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§ 1227(a)(2)</w:t>
        </w:r>
      </w:hyperlink>
      <w:r>
        <w:rPr>
          <w:rFonts w:ascii="Times New Roman" w:hAnsi="Times New Roman"/>
          <w:color w:val="000000"/>
          <w:sz w:val="20"/>
          <w:szCs w:val="20"/>
        </w:rPr>
        <w:t>. Rather, he contends that the BIA erred in ruling that his shopliftin</w:t>
      </w:r>
      <w:r>
        <w:rPr>
          <w:rFonts w:ascii="Times New Roman" w:hAnsi="Times New Roman"/>
          <w:color w:val="000000"/>
          <w:sz w:val="20"/>
          <w:szCs w:val="20"/>
        </w:rPr>
        <w:t xml:space="preserve">g conviction was for a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crime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because under New Jersey law at the time, shoplifting was not a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crime,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but rather a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disorderly persons offense.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See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58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N.J. Stat. Ann. § 2C:20–11</w:t>
        </w:r>
      </w:hyperlink>
      <w:r>
        <w:rPr>
          <w:rFonts w:ascii="Times New Roman" w:hAnsi="Times New Roman"/>
          <w:color w:val="000000"/>
          <w:sz w:val="20"/>
          <w:szCs w:val="20"/>
        </w:rPr>
        <w:t>(c) (1994) (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Any person found guilty of [shoplifting] under subsection b. is a disorderly person....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>). In support of this contention, Castillo points out that under New Jersey law in 1994: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(1)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Disorderly persons offen</w:t>
      </w:r>
      <w:r>
        <w:rPr>
          <w:rFonts w:ascii="Times New Roman" w:hAnsi="Times New Roman"/>
          <w:color w:val="000000"/>
          <w:sz w:val="20"/>
          <w:szCs w:val="20"/>
        </w:rPr>
        <w:t>ses ... are petty 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fenses and are not crimes within the meaning of the Constitution of this State.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59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N.J. Stat. Ann. § 2C:1–4</w:t>
        </w:r>
      </w:hyperlink>
      <w:r>
        <w:rPr>
          <w:rFonts w:ascii="Times New Roman" w:hAnsi="Times New Roman"/>
          <w:color w:val="000000"/>
          <w:sz w:val="20"/>
          <w:szCs w:val="20"/>
        </w:rPr>
        <w:t>(b) (1994).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(2)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There shall be no right to indictment by a grand jury nor any right to trial by jury on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di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 xml:space="preserve">orderly persons offenses.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Id.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(3)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Conviction of such offenses shall not give rise to any disability or legal disadvantage.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Id.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(4) In carrying its burden of pro</w:t>
      </w:r>
      <w:r>
        <w:rPr>
          <w:rFonts w:ascii="Times New Roman" w:hAnsi="Times New Roman"/>
          <w:color w:val="000000"/>
          <w:sz w:val="20"/>
          <w:szCs w:val="20"/>
        </w:rPr>
        <w:t>ving the element of the disorderly persons offense of shoplifting that the defendant intended to deprive the merchant of possession, the state is aided by a pr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sumption arising from intentional concealed possession of merchandise while on the merchant's pr</w:t>
      </w:r>
      <w:r>
        <w:rPr>
          <w:rFonts w:ascii="Times New Roman" w:hAnsi="Times New Roman"/>
          <w:color w:val="000000"/>
          <w:sz w:val="20"/>
          <w:szCs w:val="20"/>
        </w:rPr>
        <w:t xml:space="preserve">operty. </w:t>
      </w:r>
      <w:hyperlink r:id="rId60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N.J. Stat Ann. § 2C:20–11</w:t>
        </w:r>
      </w:hyperlink>
      <w:r>
        <w:rPr>
          <w:rFonts w:ascii="Times New Roman" w:hAnsi="Times New Roman"/>
          <w:color w:val="000000"/>
          <w:sz w:val="20"/>
          <w:szCs w:val="20"/>
        </w:rPr>
        <w:t>(d) (1994).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In further support of his contention, Castillo relies upon the BIA's decision in </w:t>
      </w:r>
      <w:hyperlink r:id="rId61" w:history="1">
        <w:r>
          <w:rPr>
            <w:rFonts w:ascii="Times New Roman" w:hAnsi="Times New Roman"/>
            <w:i/>
            <w:iCs/>
            <w:color w:val="0000FF"/>
            <w:sz w:val="20"/>
            <w:szCs w:val="20"/>
            <w:u w:val="single"/>
          </w:rPr>
          <w:t>In re Eslamizar,</w:t>
        </w:r>
      </w:hyperlink>
      <w:hyperlink r:id="rId62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 xml:space="preserve"> 23 I. &amp; N. Dec. 684 (2004)</w:t>
        </w:r>
      </w:hyperlink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in which the respondent had been found guilty of a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violation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of an Oregon statute prohibiting shoplifting. Oregon law defined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crimes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and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violations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in mutually exclusive terms, and conviction of a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violation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did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 xml:space="preserve">not give rise to any disability or </w:t>
      </w:r>
      <w:r>
        <w:rPr>
          <w:rFonts w:ascii="Times New Roman" w:hAnsi="Times New Roman"/>
          <w:color w:val="000000"/>
          <w:sz w:val="20"/>
          <w:szCs w:val="20"/>
        </w:rPr>
        <w:t>legal disadvantage based on conviction of a crime.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63" w:history="1">
        <w:r>
          <w:rPr>
            <w:rFonts w:ascii="Times New Roman" w:hAnsi="Times New Roman"/>
            <w:i/>
            <w:iCs/>
            <w:color w:val="0000FF"/>
            <w:sz w:val="20"/>
            <w:szCs w:val="20"/>
            <w:u w:val="single"/>
          </w:rPr>
          <w:t>Id.</w:t>
        </w:r>
      </w:hyperlink>
      <w:hyperlink r:id="rId64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 xml:space="preserve"> at 687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. Under its law, prosecutions of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violations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involved pr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ceedings which differed from those in criminal proceedings in that, among </w:t>
      </w:r>
      <w:r>
        <w:rPr>
          <w:rFonts w:ascii="Times New Roman" w:hAnsi="Times New Roman"/>
          <w:color w:val="000000"/>
          <w:sz w:val="20"/>
          <w:szCs w:val="20"/>
        </w:rPr>
        <w:t xml:space="preserve">other things, the state needed only to prove guilt by a preponderance of the evidence. </w:t>
      </w:r>
      <w:hyperlink r:id="rId65" w:history="1">
        <w:r>
          <w:rPr>
            <w:rFonts w:ascii="Times New Roman" w:hAnsi="Times New Roman"/>
            <w:i/>
            <w:iCs/>
            <w:color w:val="0000FF"/>
            <w:sz w:val="20"/>
            <w:szCs w:val="20"/>
            <w:u w:val="single"/>
          </w:rPr>
          <w:t>Id.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The IJ concluded that the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Oregon judgment issued against the re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 xml:space="preserve">pondent did not qualify as a </w:t>
      </w:r>
      <w:r>
        <w:rPr>
          <w:rFonts w:ascii="Times New Roman" w:hAnsi="Times New Roman"/>
          <w:color w:val="000000"/>
          <w:sz w:val="20"/>
          <w:szCs w:val="20"/>
        </w:rPr>
        <w:t>‘</w:t>
      </w:r>
      <w:r>
        <w:rPr>
          <w:rFonts w:ascii="Times New Roman" w:hAnsi="Times New Roman"/>
          <w:color w:val="000000"/>
          <w:sz w:val="20"/>
          <w:szCs w:val="20"/>
        </w:rPr>
        <w:t>conviction</w:t>
      </w:r>
      <w:r>
        <w:rPr>
          <w:rFonts w:ascii="Times New Roman" w:hAnsi="Times New Roman"/>
          <w:color w:val="000000"/>
          <w:sz w:val="20"/>
          <w:szCs w:val="20"/>
        </w:rPr>
        <w:t>’</w:t>
      </w:r>
      <w:r>
        <w:rPr>
          <w:rFonts w:ascii="Times New Roman" w:hAnsi="Times New Roman"/>
          <w:color w:val="000000"/>
          <w:sz w:val="20"/>
          <w:szCs w:val="20"/>
        </w:rPr>
        <w:t xml:space="preserve"> for a </w:t>
      </w:r>
      <w:r>
        <w:rPr>
          <w:rFonts w:ascii="Times New Roman" w:hAnsi="Times New Roman"/>
          <w:color w:val="000000"/>
          <w:sz w:val="20"/>
          <w:szCs w:val="20"/>
        </w:rPr>
        <w:t>‘</w:t>
      </w:r>
      <w:r>
        <w:rPr>
          <w:rFonts w:ascii="Times New Roman" w:hAnsi="Times New Roman"/>
          <w:color w:val="000000"/>
          <w:sz w:val="20"/>
          <w:szCs w:val="20"/>
        </w:rPr>
        <w:t>crime</w:t>
      </w:r>
      <w:r>
        <w:rPr>
          <w:rFonts w:ascii="Times New Roman" w:hAnsi="Times New Roman"/>
          <w:color w:val="000000"/>
          <w:sz w:val="20"/>
          <w:szCs w:val="20"/>
        </w:rPr>
        <w:t>’</w:t>
      </w:r>
      <w:r>
        <w:rPr>
          <w:rFonts w:ascii="Times New Roman" w:hAnsi="Times New Roman"/>
          <w:color w:val="000000"/>
          <w:sz w:val="20"/>
          <w:szCs w:val="20"/>
        </w:rPr>
        <w:t xml:space="preserve"> that could give rise to immigration consequences.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66" w:history="1">
        <w:r>
          <w:rPr>
            <w:rFonts w:ascii="Times New Roman" w:hAnsi="Times New Roman"/>
            <w:i/>
            <w:iCs/>
            <w:color w:val="0000FF"/>
            <w:sz w:val="20"/>
            <w:szCs w:val="20"/>
            <w:u w:val="single"/>
          </w:rPr>
          <w:t>Id.</w:t>
        </w:r>
      </w:hyperlink>
      <w:hyperlink r:id="rId67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 xml:space="preserve"> at 685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. The BIA agreed with this conclusion. </w:t>
      </w:r>
      <w:hyperlink r:id="rId68" w:history="1">
        <w:r>
          <w:rPr>
            <w:rFonts w:ascii="Times New Roman" w:hAnsi="Times New Roman"/>
            <w:i/>
            <w:iCs/>
            <w:color w:val="0000FF"/>
            <w:sz w:val="20"/>
            <w:szCs w:val="20"/>
            <w:u w:val="single"/>
          </w:rPr>
          <w:t>Id.</w:t>
        </w:r>
      </w:hyperlink>
      <w:hyperlink r:id="rId69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 xml:space="preserve"> n. 2.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Its analysis placed its primary emphasis o</w:t>
      </w:r>
      <w:r>
        <w:rPr>
          <w:rFonts w:ascii="Times New Roman" w:hAnsi="Times New Roman"/>
          <w:color w:val="000000"/>
          <w:sz w:val="20"/>
          <w:szCs w:val="20"/>
        </w:rPr>
        <w:t xml:space="preserve">n the INA definition of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conviction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found in </w:t>
      </w:r>
      <w:hyperlink r:id="rId70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8 U.S.C. § 1101(a)(48)(A)</w:t>
        </w:r>
      </w:hyperlink>
      <w:r>
        <w:rPr>
          <w:rFonts w:ascii="Times New Roman" w:hAnsi="Times New Roman"/>
          <w:color w:val="000000"/>
          <w:sz w:val="20"/>
          <w:szCs w:val="20"/>
        </w:rPr>
        <w:t>.</w:t>
      </w:r>
      <w:hyperlink w:anchor="Document1zzB00112024346587" w:history="1">
        <w:r>
          <w:rPr>
            <w:rFonts w:ascii="Times New Roman" w:hAnsi="Times New Roman"/>
            <w:color w:val="0000FF"/>
            <w:sz w:val="20"/>
            <w:szCs w:val="20"/>
            <w:u w:val="single"/>
            <w:vertAlign w:val="superscript"/>
          </w:rPr>
          <w:t>FN1</w:t>
        </w:r>
      </w:hyperlink>
      <w:bookmarkStart w:id="3" w:name="Document1zzF00112024346587"/>
      <w:bookmarkEnd w:id="3"/>
      <w:r>
        <w:rPr>
          <w:rFonts w:ascii="Times New Roman" w:hAnsi="Times New Roman"/>
          <w:color w:val="000000"/>
          <w:sz w:val="20"/>
          <w:szCs w:val="20"/>
        </w:rPr>
        <w:t xml:space="preserve"> While acknowledging that the respondent had been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convicted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under a literal reading of that statutory definition, the BIA ultimately concluded that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 xml:space="preserve">by </w:t>
      </w:r>
      <w:r>
        <w:rPr>
          <w:rFonts w:ascii="Times New Roman" w:hAnsi="Times New Roman"/>
          <w:color w:val="000000"/>
          <w:sz w:val="20"/>
          <w:szCs w:val="20"/>
        </w:rPr>
        <w:t>‘</w:t>
      </w:r>
      <w:r>
        <w:rPr>
          <w:rFonts w:ascii="Times New Roman" w:hAnsi="Times New Roman"/>
          <w:color w:val="000000"/>
          <w:sz w:val="20"/>
          <w:szCs w:val="20"/>
        </w:rPr>
        <w:t>judgment of guil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’</w:t>
      </w:r>
      <w:r>
        <w:rPr>
          <w:rFonts w:ascii="Times New Roman" w:hAnsi="Times New Roman"/>
          <w:color w:val="000000"/>
          <w:sz w:val="20"/>
          <w:szCs w:val="20"/>
        </w:rPr>
        <w:t xml:space="preserve"> Congress most likely intended to refer to a judgment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in a criminal proceeding,</w:t>
      </w:r>
      <w:r>
        <w:rPr>
          <w:rFonts w:ascii="Times New Roman" w:hAnsi="Times New Roman"/>
          <w:color w:val="000000"/>
          <w:sz w:val="20"/>
          <w:szCs w:val="20"/>
        </w:rPr>
        <w:t xml:space="preserve"> that is, a trial or other proceeding whose purpose is to determine whether the accused co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mitted a crime and which pr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vides the constitutional safeguards normally attendant u</w:t>
      </w:r>
      <w:r>
        <w:rPr>
          <w:rFonts w:ascii="Times New Roman" w:hAnsi="Times New Roman"/>
          <w:color w:val="000000"/>
          <w:sz w:val="20"/>
          <w:szCs w:val="20"/>
        </w:rPr>
        <w:t>pon criminal adjud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cation.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71" w:history="1">
        <w:r>
          <w:rPr>
            <w:rFonts w:ascii="Times New Roman" w:hAnsi="Times New Roman"/>
            <w:i/>
            <w:iCs/>
            <w:color w:val="0000FF"/>
            <w:sz w:val="20"/>
            <w:szCs w:val="20"/>
            <w:u w:val="single"/>
          </w:rPr>
          <w:t>Id.</w:t>
        </w:r>
      </w:hyperlink>
      <w:hyperlink r:id="rId72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 xml:space="preserve"> at 687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(italics in original). The judgment against the respondent was found not to meet this understanding of the phrase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judgment of guilt.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The BIA did not spea</w:t>
      </w:r>
      <w:r>
        <w:rPr>
          <w:rFonts w:ascii="Times New Roman" w:hAnsi="Times New Roman"/>
          <w:color w:val="000000"/>
          <w:sz w:val="20"/>
          <w:szCs w:val="20"/>
        </w:rPr>
        <w:t xml:space="preserve">k further on whether the respondent had committed a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crime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that could give rise to i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migration consequences.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*3</w:t>
      </w:r>
      <w:r>
        <w:rPr>
          <w:rFonts w:ascii="Times New Roman" w:hAnsi="Times New Roman"/>
          <w:color w:val="000000"/>
          <w:sz w:val="20"/>
          <w:szCs w:val="20"/>
        </w:rPr>
        <w:t xml:space="preserve"> While the BIA's opinion in Castillo's case makes clear that it regards the conduct prohibited by New Jersey's shoplifting statute as involving</w:t>
      </w:r>
      <w:r>
        <w:rPr>
          <w:rFonts w:ascii="Times New Roman" w:hAnsi="Times New Roman"/>
          <w:color w:val="000000"/>
          <w:sz w:val="20"/>
          <w:szCs w:val="20"/>
        </w:rPr>
        <w:t xml:space="preserve"> moral turpitude within the meaning of </w:t>
      </w:r>
      <w:hyperlink r:id="rId73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8 U.S.C. § 1227(a)(2)(A)(ii)</w:t>
        </w:r>
      </w:hyperlink>
      <w:r>
        <w:rPr>
          <w:rFonts w:ascii="Times New Roman" w:hAnsi="Times New Roman"/>
          <w:color w:val="000000"/>
          <w:sz w:val="20"/>
          <w:szCs w:val="20"/>
        </w:rPr>
        <w:t>, it does not reach</w:t>
      </w:r>
      <w:r>
        <w:rPr>
          <w:rFonts w:ascii="Times New Roman" w:hAnsi="Times New Roman"/>
          <w:color w:val="000000"/>
          <w:sz w:val="20"/>
          <w:szCs w:val="20"/>
        </w:rPr>
        <w:t xml:space="preserve"> the issue of whether Castillo was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convicted of [a] crime[ ]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within the meaning of that statute. The BIA did not reach that issue because it applied the then current version of the New Jersey statute rather than the ve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sion in effect at the time of Casti</w:t>
      </w:r>
      <w:r>
        <w:rPr>
          <w:rFonts w:ascii="Times New Roman" w:hAnsi="Times New Roman"/>
          <w:color w:val="000000"/>
          <w:sz w:val="20"/>
          <w:szCs w:val="20"/>
        </w:rPr>
        <w:t>llo's offense. As a result, its ruling on the issue tendered to us by Castillo was as follows: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The respondent argues that his shoplifting offense should be considered a disorderly persons offense, </w:t>
      </w: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rather than a crime. Under </w:t>
      </w:r>
      <w:hyperlink r:id="rId74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N.J. Stat. Ann. § 2C:2–11</w:t>
        </w:r>
      </w:hyperlink>
      <w:r>
        <w:rPr>
          <w:rFonts w:ascii="Times New Roman" w:hAnsi="Times New Roman"/>
          <w:color w:val="000000"/>
          <w:sz w:val="20"/>
          <w:szCs w:val="20"/>
        </w:rPr>
        <w:t>(c), there are 4 gradations of sho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lifting offenses. Three are crimes and one is a disorderly persons offense. The re</w:t>
      </w:r>
      <w:r>
        <w:rPr>
          <w:rFonts w:ascii="Times New Roman" w:hAnsi="Times New Roman"/>
          <w:color w:val="000000"/>
          <w:sz w:val="20"/>
          <w:szCs w:val="20"/>
        </w:rPr>
        <w:t xml:space="preserve">spondent has the burden of establishing his eligibility for any requested relief from removal.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See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75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8 C.F.R. § 1240.8(d)</w:t>
        </w:r>
      </w:hyperlink>
      <w:r>
        <w:rPr>
          <w:rFonts w:ascii="Times New Roman" w:hAnsi="Times New Roman"/>
          <w:color w:val="000000"/>
          <w:sz w:val="20"/>
          <w:szCs w:val="20"/>
        </w:rPr>
        <w:t>. If the evidence indicates (as is the case here) that one or more grounds for mandatory denial of the applic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tion for relief may apply, the alien shall have the burden of proving by a preponderance of the ev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dence that su</w:t>
      </w:r>
      <w:r>
        <w:rPr>
          <w:rFonts w:ascii="Times New Roman" w:hAnsi="Times New Roman"/>
          <w:color w:val="000000"/>
          <w:sz w:val="20"/>
          <w:szCs w:val="20"/>
        </w:rPr>
        <w:t xml:space="preserve">ch grounds do not apply.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Id.</w:t>
      </w:r>
      <w:r>
        <w:rPr>
          <w:rFonts w:ascii="Times New Roman" w:hAnsi="Times New Roman"/>
          <w:color w:val="000000"/>
          <w:sz w:val="20"/>
          <w:szCs w:val="20"/>
        </w:rPr>
        <w:t xml:space="preserve"> As there is no evidence in this case that the respondent's sho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lifting offense was prosecuted as a disorderly pe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sons offense rather than a crime, the respondent has not met his burden of establishing that he is eligible for ca</w:t>
      </w:r>
      <w:r>
        <w:rPr>
          <w:rFonts w:ascii="Times New Roman" w:hAnsi="Times New Roman"/>
          <w:color w:val="000000"/>
          <w:sz w:val="20"/>
          <w:szCs w:val="20"/>
        </w:rPr>
        <w:t>ncellation of removal under section 240A(a) of the Act.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App. at v-vi (footnote omitted).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Under </w:t>
      </w:r>
      <w:hyperlink r:id="rId76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§ 2C:2–11</w:t>
        </w:r>
      </w:hyperlink>
      <w:r>
        <w:rPr>
          <w:rFonts w:ascii="Times New Roman" w:hAnsi="Times New Roman"/>
          <w:color w:val="000000"/>
          <w:sz w:val="20"/>
          <w:szCs w:val="20"/>
        </w:rPr>
        <w:t>(c) as it existed at the time of Cas</w:t>
      </w:r>
      <w:r>
        <w:rPr>
          <w:rFonts w:ascii="Times New Roman" w:hAnsi="Times New Roman"/>
          <w:color w:val="000000"/>
          <w:sz w:val="20"/>
          <w:szCs w:val="20"/>
        </w:rPr>
        <w:t>tillo's shoplifting offense, all four gradations of the offense were disorderly persons offenses and, acco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dingly, we cannot sustain the BIA's ruling based on its supporting rationale. There is no doubt that Castillo was found guilty of a disorderly person</w:t>
      </w:r>
      <w:r>
        <w:rPr>
          <w:rFonts w:ascii="Times New Roman" w:hAnsi="Times New Roman"/>
          <w:color w:val="000000"/>
          <w:sz w:val="20"/>
          <w:szCs w:val="20"/>
        </w:rPr>
        <w:t xml:space="preserve">s offense and the issue of whether that constitutes being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convicted of [a] crime[ ]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within the meaning of </w:t>
      </w:r>
      <w:hyperlink r:id="rId77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§ 1227(a)(2)(A)(ii)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cannot be avoided. We decline to address it in the first instance because it is an issue of some substance and because we owe </w:t>
      </w:r>
      <w:hyperlink r:id="rId78" w:history="1">
        <w:r>
          <w:rPr>
            <w:rFonts w:ascii="Times New Roman" w:hAnsi="Times New Roman"/>
            <w:i/>
            <w:iCs/>
            <w:color w:val="0000FF"/>
            <w:sz w:val="20"/>
            <w:szCs w:val="20"/>
            <w:u w:val="single"/>
          </w:rPr>
          <w:t>Chevron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def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rence to the BIA's reading of the statutes whose e</w:t>
      </w:r>
      <w:r>
        <w:rPr>
          <w:rFonts w:ascii="Times New Roman" w:hAnsi="Times New Roman"/>
          <w:color w:val="000000"/>
          <w:sz w:val="20"/>
          <w:szCs w:val="20"/>
        </w:rPr>
        <w:t>x</w:t>
      </w:r>
      <w:r>
        <w:rPr>
          <w:rFonts w:ascii="Times New Roman" w:hAnsi="Times New Roman"/>
          <w:color w:val="000000"/>
          <w:sz w:val="20"/>
          <w:szCs w:val="20"/>
        </w:rPr>
        <w:t>ecution it oversees. We will remand to secure the benefit of the BIA's u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derstanding of the phrase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convicted of [a] crime[ ]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as used in </w:t>
      </w:r>
      <w:hyperlink r:id="rId79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§ 1227(a)(2)(A)(ii)</w:t>
        </w:r>
      </w:hyperlink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The BIA's application of the 2006 version of the statute rather than the 1994 version is not harmless err</w:t>
      </w:r>
      <w:r>
        <w:rPr>
          <w:rFonts w:ascii="Times New Roman" w:hAnsi="Times New Roman"/>
          <w:color w:val="000000"/>
          <w:sz w:val="20"/>
          <w:szCs w:val="20"/>
        </w:rPr>
        <w:t xml:space="preserve">or as the government suggests. While it is true that </w:t>
      </w:r>
      <w:hyperlink r:id="rId80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8 U.S.C. § 1101(a)(48)(A)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defines</w:t>
      </w:r>
      <w:r>
        <w:rPr>
          <w:rFonts w:ascii="Times New Roman" w:hAnsi="Times New Roman"/>
          <w:color w:val="000000"/>
          <w:sz w:val="20"/>
          <w:szCs w:val="20"/>
        </w:rPr>
        <w:t xml:space="preserve"> the term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convi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tion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for purposes of the INA and that that definition is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not dependent on the vagaries of state law,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Appe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 xml:space="preserve">lee's Br. at 21 n. 7, the issue posed by Castillo turns on whether he was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co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victed of [a] crime[ ]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within the meaning of </w:t>
      </w:r>
      <w:hyperlink r:id="rId81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8 U.S.C. § 1227(a)(2)(A)(ii)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. That is clearly a question of federal, not state, law, but it </w:t>
      </w:r>
      <w:r>
        <w:rPr>
          <w:rFonts w:ascii="Times New Roman" w:hAnsi="Times New Roman"/>
          <w:color w:val="000000"/>
          <w:sz w:val="20"/>
          <w:szCs w:val="20"/>
        </w:rPr>
        <w:t xml:space="preserve">is not one directly answered in the INA or the BIA's opinion in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lamizar.</w:t>
      </w:r>
      <w:r>
        <w:rPr>
          <w:rFonts w:ascii="Times New Roman" w:hAnsi="Times New Roman"/>
          <w:color w:val="000000"/>
          <w:sz w:val="20"/>
          <w:szCs w:val="20"/>
        </w:rPr>
        <w:t xml:space="preserve"> While the statutory definition of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co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viction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may be found to assist in the analysis, even given that definition, one must still ask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conviction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lastRenderedPageBreak/>
        <w:t>of what.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IV.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*4</w:t>
      </w:r>
      <w:r>
        <w:rPr>
          <w:rFonts w:ascii="Times New Roman" w:hAnsi="Times New Roman"/>
          <w:color w:val="000000"/>
          <w:sz w:val="20"/>
          <w:szCs w:val="20"/>
        </w:rPr>
        <w:t xml:space="preserve"> Castillo advances a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due process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argument that closely tracks the foregoing argument 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garding statutory construction. Disposition of it should await the disposition of that statutory a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gument.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Castillo also argues that his lawful permanent resident sta</w:t>
      </w:r>
      <w:r>
        <w:rPr>
          <w:rFonts w:ascii="Times New Roman" w:hAnsi="Times New Roman"/>
          <w:color w:val="000000"/>
          <w:sz w:val="20"/>
          <w:szCs w:val="20"/>
        </w:rPr>
        <w:t>tus was erroneously rescinded in v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olation of the teachings of </w:t>
      </w:r>
      <w:hyperlink r:id="rId82" w:history="1">
        <w:r>
          <w:rPr>
            <w:rFonts w:ascii="Times New Roman" w:hAnsi="Times New Roman"/>
            <w:i/>
            <w:iCs/>
            <w:color w:val="0000FF"/>
            <w:sz w:val="20"/>
            <w:szCs w:val="20"/>
            <w:u w:val="single"/>
          </w:rPr>
          <w:t>Bamidele v. INS,</w:t>
        </w:r>
      </w:hyperlink>
      <w:hyperlink r:id="rId83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 xml:space="preserve"> 99 F.3d 557 (3d Cir.1996)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, and </w:t>
      </w:r>
      <w:hyperlink r:id="rId84" w:history="1">
        <w:r>
          <w:rPr>
            <w:rFonts w:ascii="Times New Roman" w:hAnsi="Times New Roman"/>
            <w:i/>
            <w:iCs/>
            <w:color w:val="0000FF"/>
            <w:sz w:val="20"/>
            <w:szCs w:val="20"/>
            <w:u w:val="single"/>
          </w:rPr>
          <w:t>Garcia v.</w:t>
        </w:r>
        <w:r>
          <w:rPr>
            <w:rFonts w:ascii="Times New Roman" w:hAnsi="Times New Roman"/>
            <w:i/>
            <w:iCs/>
            <w:color w:val="0000FF"/>
            <w:sz w:val="20"/>
            <w:szCs w:val="20"/>
            <w:u w:val="single"/>
          </w:rPr>
          <w:t xml:space="preserve"> Attorney Gen.,</w:t>
        </w:r>
      </w:hyperlink>
      <w:hyperlink r:id="rId85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 xml:space="preserve"> 553 F.3d 724 (3d Cir.2009)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. We are unpersuaded. In </w:t>
      </w:r>
      <w:hyperlink r:id="rId86" w:history="1">
        <w:r>
          <w:rPr>
            <w:rFonts w:ascii="Times New Roman" w:hAnsi="Times New Roman"/>
            <w:i/>
            <w:iCs/>
            <w:color w:val="0000FF"/>
            <w:sz w:val="20"/>
            <w:szCs w:val="20"/>
            <w:u w:val="single"/>
          </w:rPr>
          <w:t>Bamidele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and </w:t>
      </w:r>
      <w:hyperlink r:id="rId87" w:history="1">
        <w:r>
          <w:rPr>
            <w:rFonts w:ascii="Times New Roman" w:hAnsi="Times New Roman"/>
            <w:i/>
            <w:iCs/>
            <w:color w:val="0000FF"/>
            <w:sz w:val="20"/>
            <w:szCs w:val="20"/>
            <w:u w:val="single"/>
          </w:rPr>
          <w:t>Garcia,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the deportation orders of the INS rested solely on the ground that the respondents were found to have secure</w:t>
      </w:r>
      <w:r>
        <w:rPr>
          <w:rFonts w:ascii="Times New Roman" w:hAnsi="Times New Roman"/>
          <w:color w:val="000000"/>
          <w:sz w:val="20"/>
          <w:szCs w:val="20"/>
        </w:rPr>
        <w:t>d adjustment of status through fraud, and a five-year statute of limitations barred any attack on the alleged frauds. Here, Castillo's removal order is based on his substantial criminal record, which he a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knowledged from the outset, and he points to no a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licable statute of limitations that has been violated.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V.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The petition for review will be granted, and this matter will be remanded to the BIA for further pr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ceedings consistent with this opinion.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hyperlink w:anchor="Document1zzF00112024346587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FN1.</w:t>
        </w:r>
      </w:hyperlink>
      <w:bookmarkStart w:id="4" w:name="Document1zzB00112024346587"/>
      <w:bookmarkEnd w:id="4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88" w:history="1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8 U.S.C. § 1101(a)(48)(A)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provides: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The t</w:t>
      </w:r>
      <w:r>
        <w:rPr>
          <w:rFonts w:ascii="Times New Roman" w:hAnsi="Times New Roman"/>
          <w:color w:val="000000"/>
          <w:sz w:val="20"/>
          <w:szCs w:val="20"/>
        </w:rPr>
        <w:t xml:space="preserve">erm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</w:rPr>
        <w:t>conviction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means, with respect to an alien, a formal judgment of guilt of the alien entered by a court or, if adjud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cation of guilt has been withheld, where</w:t>
      </w:r>
      <w:r>
        <w:rPr>
          <w:rFonts w:ascii="Times New Roman" w:hAnsi="Times New Roman"/>
          <w:color w:val="000000"/>
          <w:sz w:val="20"/>
          <w:szCs w:val="20"/>
        </w:rPr>
        <w:t>—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(i) a judge or jury has found the alien guilty or the alien has entered a plea of guilty or</w:t>
      </w:r>
      <w:r>
        <w:rPr>
          <w:rFonts w:ascii="Times New Roman" w:hAnsi="Times New Roman"/>
          <w:color w:val="000000"/>
          <w:sz w:val="20"/>
          <w:szCs w:val="20"/>
        </w:rPr>
        <w:t xml:space="preserve"> nolo contendere or has admitted sufficient facts to warrant a finding of guilt, and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(ii) the judge has ordered some form of punishment, penalty, or restraint on the alien's liberty to be imposed.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C.A.3,2011.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Castillo v. Attorney General of U.S.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Slip Copy, 2011 WL 79631 (C.A.3)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END OF DOCUMENT</w:t>
      </w:r>
    </w:p>
    <w:p w:rsidR="00000000" w:rsidRDefault="00F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5" w:name="last-page"/>
      <w:bookmarkEnd w:id="5"/>
    </w:p>
    <w:p w:rsidR="00F17D28" w:rsidRDefault="00F1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17D28">
      <w:headerReference w:type="default" r:id="rId89"/>
      <w:footerReference w:type="default" r:id="rId90"/>
      <w:type w:val="continuous"/>
      <w:pgSz w:w="12240" w:h="15840"/>
      <w:pgMar w:top="2016" w:right="1440" w:bottom="1800" w:left="1440" w:header="720" w:footer="720" w:gutter="0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D28" w:rsidRDefault="00F17D28" w:rsidP="00D071DD">
      <w:pPr>
        <w:spacing w:after="0" w:line="240" w:lineRule="auto"/>
      </w:pPr>
      <w:r>
        <w:separator/>
      </w:r>
    </w:p>
  </w:endnote>
  <w:endnote w:type="continuationSeparator" w:id="0">
    <w:p w:rsidR="00F17D28" w:rsidRDefault="00F17D28" w:rsidP="00D0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17D2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24"/>
        <w:szCs w:val="24"/>
      </w:rPr>
    </w:pPr>
    <w:r>
      <w:rPr>
        <w:rFonts w:ascii="Times New Roman" w:hAnsi="Times New Roman"/>
        <w:color w:val="000000"/>
        <w:sz w:val="20"/>
        <w:szCs w:val="20"/>
      </w:rPr>
      <w:t>© 2011 Thomson Reuters. No Claim to Orig. US Gov. Works.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17D2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24"/>
        <w:szCs w:val="24"/>
      </w:rPr>
    </w:pPr>
    <w:r>
      <w:rPr>
        <w:rFonts w:ascii="Times New Roman" w:hAnsi="Times New Roman"/>
        <w:color w:val="000000"/>
        <w:sz w:val="20"/>
        <w:szCs w:val="20"/>
      </w:rPr>
      <w:t>© 2011 Thomson Reuters. No Claim to Orig. US Gov. Works.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D28" w:rsidRDefault="00F17D28" w:rsidP="00D071DD">
      <w:pPr>
        <w:spacing w:after="0" w:line="240" w:lineRule="auto"/>
      </w:pPr>
      <w:r>
        <w:separator/>
      </w:r>
    </w:p>
  </w:footnote>
  <w:footnote w:type="continuationSeparator" w:id="0">
    <w:p w:rsidR="00F17D28" w:rsidRDefault="00F17D28" w:rsidP="00D0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6480"/>
      <w:gridCol w:w="2880"/>
    </w:tblGrid>
    <w:tr w:rsidR="00000000" w:rsidRPr="00F17D2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648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00000" w:rsidRPr="00F17D28" w:rsidRDefault="00F532F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color w:val="000000"/>
              <w:sz w:val="24"/>
              <w:szCs w:val="24"/>
            </w:rPr>
          </w:pPr>
          <w:r w:rsidRPr="00F17D28">
            <w:rPr>
              <w:rFonts w:ascii="Times New Roman" w:eastAsiaTheme="minorEastAsia" w:hAnsi="Times New Roman"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4pt;height:27pt">
                <v:imagedata r:id="rId1" o:title=""/>
              </v:shape>
            </w:pict>
          </w:r>
        </w:p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00000" w:rsidRPr="00F17D28" w:rsidRDefault="00F17D2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color w:val="000000"/>
              <w:sz w:val="24"/>
              <w:szCs w:val="24"/>
            </w:rPr>
          </w:pPr>
        </w:p>
      </w:tc>
    </w:tr>
    <w:tr w:rsidR="00000000" w:rsidRPr="00F17D2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648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00000" w:rsidRPr="00F17D28" w:rsidRDefault="00F17D2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color w:val="000000"/>
              <w:sz w:val="24"/>
              <w:szCs w:val="24"/>
            </w:rPr>
          </w:pPr>
          <w:r w:rsidRPr="00F17D28">
            <w:rPr>
              <w:rFonts w:ascii="Times New Roman" w:eastAsiaTheme="minorEastAsia" w:hAnsi="Times New Roman"/>
              <w:color w:val="000000"/>
              <w:sz w:val="20"/>
              <w:szCs w:val="20"/>
            </w:rPr>
            <w:t> </w:t>
          </w:r>
        </w:p>
        <w:p w:rsidR="00000000" w:rsidRPr="00F17D28" w:rsidRDefault="00F17D2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color w:val="000000"/>
              <w:sz w:val="24"/>
              <w:szCs w:val="24"/>
            </w:rPr>
          </w:pPr>
        </w:p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00000" w:rsidRPr="00F17D28" w:rsidRDefault="00F17D2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color w:val="000000"/>
              <w:sz w:val="24"/>
              <w:szCs w:val="24"/>
            </w:rPr>
          </w:pPr>
          <w:r w:rsidRPr="00F17D28">
            <w:rPr>
              <w:rFonts w:ascii="Times New Roman" w:eastAsiaTheme="minorEastAsia" w:hAnsi="Times New Roman"/>
              <w:color w:val="000000"/>
              <w:sz w:val="20"/>
              <w:szCs w:val="20"/>
            </w:rPr>
            <w:t xml:space="preserve">Page </w:t>
          </w:r>
          <w:r w:rsidRPr="00F17D28">
            <w:rPr>
              <w:rFonts w:ascii="Times New Roman" w:eastAsiaTheme="minorEastAsia" w:hAnsi="Times New Roman"/>
              <w:color w:val="000000"/>
              <w:sz w:val="20"/>
              <w:szCs w:val="20"/>
            </w:rPr>
            <w:pgNum/>
          </w:r>
        </w:p>
      </w:tc>
    </w:tr>
    <w:tr w:rsidR="00000000" w:rsidRPr="00F17D2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360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00000" w:rsidRPr="00F17D28" w:rsidRDefault="00F17D2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color w:val="000000"/>
              <w:sz w:val="24"/>
              <w:szCs w:val="24"/>
            </w:rPr>
          </w:pPr>
          <w:r w:rsidRPr="00F17D28">
            <w:rPr>
              <w:rFonts w:ascii="Times New Roman" w:eastAsiaTheme="minorEastAsia" w:hAnsi="Times New Roman"/>
              <w:color w:val="000000"/>
              <w:sz w:val="20"/>
              <w:szCs w:val="20"/>
            </w:rPr>
            <w:t>Slip Copy, 2011 WL 79631 (C.A.3)</w:t>
          </w:r>
        </w:p>
        <w:p w:rsidR="00000000" w:rsidRPr="00F17D28" w:rsidRDefault="00F17D2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color w:val="000000"/>
              <w:sz w:val="24"/>
              <w:szCs w:val="24"/>
            </w:rPr>
          </w:pPr>
          <w:r w:rsidRPr="00F17D28">
            <w:rPr>
              <w:rFonts w:ascii="Times New Roman" w:eastAsiaTheme="minorEastAsia" w:hAnsi="Times New Roman"/>
              <w:b/>
              <w:bCs/>
              <w:color w:val="000000"/>
              <w:sz w:val="20"/>
              <w:szCs w:val="20"/>
            </w:rPr>
            <w:t>(Not Selected for publication in the Federal Reporter)</w:t>
          </w:r>
        </w:p>
      </w:tc>
    </w:tr>
    <w:tr w:rsidR="00000000" w:rsidRPr="00F17D2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360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00000" w:rsidRPr="00F17D28" w:rsidRDefault="00F17D2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color w:val="000000"/>
              <w:sz w:val="24"/>
              <w:szCs w:val="24"/>
            </w:rPr>
          </w:pPr>
          <w:r w:rsidRPr="00F17D28">
            <w:rPr>
              <w:rFonts w:ascii="Times New Roman" w:eastAsiaTheme="minorEastAsia" w:hAnsi="Times New Roman"/>
              <w:b/>
              <w:bCs/>
              <w:color w:val="000000"/>
              <w:sz w:val="20"/>
              <w:szCs w:val="20"/>
            </w:rPr>
            <w:t>(Cite as: 2011 WL 79631 (C.A.3))</w:t>
          </w: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6480"/>
      <w:gridCol w:w="2880"/>
    </w:tblGrid>
    <w:tr w:rsidR="00000000" w:rsidRPr="00F17D2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648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00000" w:rsidRPr="00F17D28" w:rsidRDefault="00F17D2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color w:val="000000"/>
              <w:sz w:val="24"/>
              <w:szCs w:val="24"/>
            </w:rPr>
          </w:pPr>
          <w:r w:rsidRPr="00F17D28">
            <w:rPr>
              <w:rFonts w:ascii="Times New Roman" w:eastAsiaTheme="minorEastAsia" w:hAnsi="Times New Roman"/>
              <w:color w:val="000000"/>
              <w:sz w:val="20"/>
              <w:szCs w:val="20"/>
            </w:rPr>
            <w:t> </w:t>
          </w:r>
        </w:p>
        <w:p w:rsidR="00000000" w:rsidRPr="00F17D28" w:rsidRDefault="00F17D2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color w:val="000000"/>
              <w:sz w:val="24"/>
              <w:szCs w:val="24"/>
            </w:rPr>
          </w:pPr>
        </w:p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00000" w:rsidRPr="00F17D28" w:rsidRDefault="00F17D2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color w:val="000000"/>
              <w:sz w:val="24"/>
              <w:szCs w:val="24"/>
            </w:rPr>
          </w:pPr>
          <w:r w:rsidRPr="00F17D28">
            <w:rPr>
              <w:rFonts w:ascii="Times New Roman" w:eastAsiaTheme="minorEastAsia" w:hAnsi="Times New Roman"/>
              <w:color w:val="000000"/>
              <w:sz w:val="20"/>
              <w:szCs w:val="20"/>
            </w:rPr>
            <w:t xml:space="preserve">Page </w:t>
          </w:r>
          <w:r w:rsidRPr="00F17D28">
            <w:rPr>
              <w:rFonts w:ascii="Times New Roman" w:eastAsiaTheme="minorEastAsia" w:hAnsi="Times New Roman"/>
              <w:color w:val="000000"/>
              <w:sz w:val="20"/>
              <w:szCs w:val="20"/>
            </w:rPr>
            <w:pgNum/>
          </w:r>
        </w:p>
      </w:tc>
    </w:tr>
    <w:tr w:rsidR="00000000" w:rsidRPr="00F17D2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360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00000" w:rsidRPr="00F17D28" w:rsidRDefault="00F17D2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color w:val="000000"/>
              <w:sz w:val="24"/>
              <w:szCs w:val="24"/>
            </w:rPr>
          </w:pPr>
          <w:r w:rsidRPr="00F17D28">
            <w:rPr>
              <w:rFonts w:ascii="Times New Roman" w:eastAsiaTheme="minorEastAsia" w:hAnsi="Times New Roman"/>
              <w:color w:val="000000"/>
              <w:sz w:val="20"/>
              <w:szCs w:val="20"/>
            </w:rPr>
            <w:t>Slip Copy, 2011 WL 79631 (C.A.3)</w:t>
          </w:r>
        </w:p>
        <w:p w:rsidR="00000000" w:rsidRPr="00F17D28" w:rsidRDefault="00F17D2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color w:val="000000"/>
              <w:sz w:val="24"/>
              <w:szCs w:val="24"/>
            </w:rPr>
          </w:pPr>
          <w:r w:rsidRPr="00F17D28">
            <w:rPr>
              <w:rFonts w:ascii="Times New Roman" w:eastAsiaTheme="minorEastAsia" w:hAnsi="Times New Roman"/>
              <w:b/>
              <w:bCs/>
              <w:color w:val="000000"/>
              <w:sz w:val="20"/>
              <w:szCs w:val="20"/>
            </w:rPr>
            <w:t>(Not Selected for publication in the Federal Reporter)</w:t>
          </w:r>
        </w:p>
      </w:tc>
    </w:tr>
    <w:tr w:rsidR="00000000" w:rsidRPr="00F17D2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360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00000" w:rsidRPr="00F17D28" w:rsidRDefault="00F17D2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color w:val="000000"/>
              <w:sz w:val="24"/>
              <w:szCs w:val="24"/>
            </w:rPr>
          </w:pPr>
          <w:r w:rsidRPr="00F17D28">
            <w:rPr>
              <w:rFonts w:ascii="Times New Roman" w:eastAsiaTheme="minorEastAsia" w:hAnsi="Times New Roman"/>
              <w:b/>
              <w:bCs/>
              <w:color w:val="000000"/>
              <w:sz w:val="20"/>
              <w:szCs w:val="20"/>
            </w:rPr>
            <w:t>(Cite as: 2011 WL 79631 (C.A.3))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2FB"/>
    <w:rsid w:val="00C857B7"/>
    <w:rsid w:val="00F17D28"/>
    <w:rsid w:val="00F5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estlaw.com/KeyNumber/Default.wl?rs=dfa1.0&amp;vr=2.0&amp;CMD=KEY&amp;DocName=24V" TargetMode="External"/><Relationship Id="rId18" Type="http://schemas.openxmlformats.org/officeDocument/2006/relationships/hyperlink" Target="http://www.westlaw.com/Find/Default.wl?rs=dfa1.0&amp;vr=2.0&amp;DB=1000546&amp;DocName=8USCAS1227&amp;FindType=L&amp;ReferencePositionType=T&amp;ReferencePosition=SP_b4cb00009d733" TargetMode="External"/><Relationship Id="rId26" Type="http://schemas.openxmlformats.org/officeDocument/2006/relationships/hyperlink" Target="http://www.westlaw.com/Find/Default.wl?rs=dfa1.0&amp;vr=2.0&amp;DB=PROFILER-WLD&amp;DocName=0370046401&amp;FindType=h" TargetMode="External"/><Relationship Id="rId39" Type="http://schemas.openxmlformats.org/officeDocument/2006/relationships/hyperlink" Target="http://www.westlaw.com/Find/Default.wl?rs=dfa1.0&amp;vr=2.0&amp;DB=708&amp;FindType=Y&amp;SerialNum=1984130736" TargetMode="External"/><Relationship Id="rId21" Type="http://schemas.openxmlformats.org/officeDocument/2006/relationships/hyperlink" Target="http://www.westlaw.com/Find/Default.wl?rs=dfa1.0&amp;vr=2.0&amp;DB=PROFILER-WLD&amp;DocName=0395776201&amp;FindType=h" TargetMode="External"/><Relationship Id="rId34" Type="http://schemas.openxmlformats.org/officeDocument/2006/relationships/hyperlink" Target="http://www.westlaw.com/Find/Default.wl?rs=dfa1.0&amp;vr=2.0&amp;DB=506&amp;FindType=Y&amp;ReferencePositionType=S&amp;SerialNum=2020491977&amp;ReferencePosition=588" TargetMode="External"/><Relationship Id="rId42" Type="http://schemas.openxmlformats.org/officeDocument/2006/relationships/hyperlink" Target="http://www.westlaw.com/Find/Default.wl?rs=dfa1.0&amp;vr=2.0&amp;DB=506&amp;FindType=Y&amp;ReferencePositionType=S&amp;SerialNum=2004493872&amp;ReferencePosition=349" TargetMode="External"/><Relationship Id="rId47" Type="http://schemas.openxmlformats.org/officeDocument/2006/relationships/hyperlink" Target="http://www.westlaw.com/Find/Default.wl?rs=dfa1.0&amp;vr=2.0&amp;DB=708&amp;FindType=Y&amp;SerialNum=1984130736" TargetMode="External"/><Relationship Id="rId50" Type="http://schemas.openxmlformats.org/officeDocument/2006/relationships/hyperlink" Target="http://www.westlaw.com/Find/Default.wl?rs=dfa1.0&amp;vr=2.0&amp;FindType=Y&amp;SerialNum=2003567502" TargetMode="External"/><Relationship Id="rId55" Type="http://schemas.openxmlformats.org/officeDocument/2006/relationships/hyperlink" Target="http://www.westlaw.com/Find/Default.wl?rs=dfa1.0&amp;vr=2.0&amp;DB=1000546&amp;DocName=8USCAS1227&amp;FindType=L&amp;ReferencePositionType=T&amp;ReferencePosition=SP_b4cb00009d733" TargetMode="External"/><Relationship Id="rId63" Type="http://schemas.openxmlformats.org/officeDocument/2006/relationships/hyperlink" Target="http://www.westlaw.com/Find/Default.wl?rs=dfa1.0&amp;vr=2.0&amp;DB=0001650&amp;FindType=Y&amp;ReferencePositionType=S&amp;SerialNum=2005393978&amp;ReferencePosition=687" TargetMode="External"/><Relationship Id="rId68" Type="http://schemas.openxmlformats.org/officeDocument/2006/relationships/hyperlink" Target="http://www.westlaw.com/Find/Default.wl?rs=dfa1.0&amp;vr=2.0&amp;FindType=Y&amp;SerialNum=2005393978" TargetMode="External"/><Relationship Id="rId76" Type="http://schemas.openxmlformats.org/officeDocument/2006/relationships/hyperlink" Target="http://www.westlaw.com/Find/Default.wl?rs=dfa1.0&amp;vr=2.0&amp;DB=1000045&amp;DocName=NJST2C%3A2-11&amp;FindType=L" TargetMode="External"/><Relationship Id="rId84" Type="http://schemas.openxmlformats.org/officeDocument/2006/relationships/hyperlink" Target="http://www.westlaw.com/Find/Default.wl?rs=dfa1.0&amp;vr=2.0&amp;DB=506&amp;FindType=Y&amp;SerialNum=2017895213" TargetMode="External"/><Relationship Id="rId89" Type="http://schemas.openxmlformats.org/officeDocument/2006/relationships/header" Target="header2.xml"/><Relationship Id="rId7" Type="http://schemas.openxmlformats.org/officeDocument/2006/relationships/header" Target="header1.xml"/><Relationship Id="rId71" Type="http://schemas.openxmlformats.org/officeDocument/2006/relationships/hyperlink" Target="http://www.westlaw.com/Find/Default.wl?rs=dfa1.0&amp;vr=2.0&amp;DB=0001650&amp;FindType=Y&amp;ReferencePositionType=S&amp;SerialNum=2005393978&amp;ReferencePosition=687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westlaw.com/KeyNumber/Default.wl?rs=dfa1.0&amp;vr=2.0&amp;CMD=KEY&amp;DocName=24k411" TargetMode="External"/><Relationship Id="rId29" Type="http://schemas.openxmlformats.org/officeDocument/2006/relationships/hyperlink" Target="http://www.westlaw.com/Find/Default.wl?rs=dfa1.0&amp;vr=2.0&amp;DB=PROFILER-WLD&amp;DocName=0249798901&amp;FindType=h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www.westlaw.com/Find/Default.wl?rs=dfa1.0&amp;vr=2.0&amp;DB=PROFILER-WLD&amp;DocName=0149739801&amp;FindType=h" TargetMode="External"/><Relationship Id="rId32" Type="http://schemas.openxmlformats.org/officeDocument/2006/relationships/hyperlink" Target="http://www.westlaw.com/Find/Default.wl?rs=dfa1.0&amp;vr=2.0&amp;DB=1000546&amp;DocName=8USCAS1252&amp;FindType=L&amp;ReferencePositionType=T&amp;ReferencePosition=SP_8b3b0000958a4" TargetMode="External"/><Relationship Id="rId37" Type="http://schemas.openxmlformats.org/officeDocument/2006/relationships/hyperlink" Target="http://www.westlaw.com/Find/Default.wl?rs=dfa1.0&amp;vr=2.0&amp;DB=506&amp;FindType=Y&amp;ReferencePositionType=S&amp;SerialNum=2012545322&amp;ReferencePosition=228" TargetMode="External"/><Relationship Id="rId40" Type="http://schemas.openxmlformats.org/officeDocument/2006/relationships/hyperlink" Target="http://www.westlaw.com/Find/Default.wl?rs=dfa1.0&amp;vr=2.0&amp;DB=708&amp;FindType=Y&amp;SerialNum=1984130736" TargetMode="External"/><Relationship Id="rId45" Type="http://schemas.openxmlformats.org/officeDocument/2006/relationships/hyperlink" Target="http://www.westlaw.com/Find/Default.wl?rs=dfa1.0&amp;vr=2.0&amp;DB=506&amp;FindType=Y&amp;ReferencePositionType=S&amp;SerialNum=2003567502&amp;ReferencePosition=222" TargetMode="External"/><Relationship Id="rId53" Type="http://schemas.openxmlformats.org/officeDocument/2006/relationships/hyperlink" Target="http://www.westlaw.com/Find/Default.wl?rs=dfa1.0&amp;vr=2.0&amp;DB=1000546&amp;DocName=8USCAS1227&amp;FindType=L&amp;ReferencePositionType=T&amp;ReferencePosition=SP_d86d0000be040" TargetMode="External"/><Relationship Id="rId58" Type="http://schemas.openxmlformats.org/officeDocument/2006/relationships/hyperlink" Target="http://www.westlaw.com/Find/Default.wl?rs=dfa1.0&amp;vr=2.0&amp;DB=1000045&amp;DocName=NJST2C%3A20-11&amp;FindType=L" TargetMode="External"/><Relationship Id="rId66" Type="http://schemas.openxmlformats.org/officeDocument/2006/relationships/hyperlink" Target="http://www.westlaw.com/Find/Default.wl?rs=dfa1.0&amp;vr=2.0&amp;DB=0001650&amp;FindType=Y&amp;ReferencePositionType=S&amp;SerialNum=2005393978&amp;ReferencePosition=685" TargetMode="External"/><Relationship Id="rId74" Type="http://schemas.openxmlformats.org/officeDocument/2006/relationships/hyperlink" Target="http://www.westlaw.com/Find/Default.wl?rs=dfa1.0&amp;vr=2.0&amp;DB=1000045&amp;DocName=NJST2C%3A2-11&amp;FindType=L" TargetMode="External"/><Relationship Id="rId79" Type="http://schemas.openxmlformats.org/officeDocument/2006/relationships/hyperlink" Target="http://www.westlaw.com/Find/Default.wl?rs=dfa1.0&amp;vr=2.0&amp;DB=1000546&amp;DocName=8USCAS1227&amp;FindType=L&amp;ReferencePositionType=T&amp;ReferencePosition=SP_b4cb00009d733" TargetMode="External"/><Relationship Id="rId87" Type="http://schemas.openxmlformats.org/officeDocument/2006/relationships/hyperlink" Target="http://www.westlaw.com/Find/Default.wl?rs=dfa1.0&amp;vr=2.0&amp;FindType=Y&amp;SerialNum=2017895213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westlaw.com/Find/Default.wl?rs=dfa1.0&amp;vr=2.0&amp;DB=0001650&amp;FindType=Y&amp;SerialNum=2005393978" TargetMode="External"/><Relationship Id="rId82" Type="http://schemas.openxmlformats.org/officeDocument/2006/relationships/hyperlink" Target="http://www.westlaw.com/Find/Default.wl?rs=dfa1.0&amp;vr=2.0&amp;DB=506&amp;FindType=Y&amp;SerialNum=1996246539" TargetMode="External"/><Relationship Id="rId90" Type="http://schemas.openxmlformats.org/officeDocument/2006/relationships/footer" Target="footer2.xml"/><Relationship Id="rId19" Type="http://schemas.openxmlformats.org/officeDocument/2006/relationships/hyperlink" Target="http://www.westlaw.com/Find/Default.wl?rs=dfa1.0&amp;vr=2.0&amp;DB=1000045&amp;DocName=NJST2C%3A20-11&amp;FindType=L" TargetMode="External"/><Relationship Id="rId14" Type="http://schemas.openxmlformats.org/officeDocument/2006/relationships/hyperlink" Target="http://www.westlaw.com/KeyNumber/Default.wl?rs=dfa1.0&amp;vr=2.0&amp;CMD=KEY&amp;DocName=24V%28G%29" TargetMode="External"/><Relationship Id="rId22" Type="http://schemas.openxmlformats.org/officeDocument/2006/relationships/hyperlink" Target="http://www.westlaw.com/Find/Default.wl?rs=dfa1.0&amp;vr=2.0&amp;DB=PROFILER-WLD&amp;DocName=0210279101&amp;FindType=h" TargetMode="External"/><Relationship Id="rId27" Type="http://schemas.openxmlformats.org/officeDocument/2006/relationships/hyperlink" Target="http://www.westlaw.com/Find/Default.wl?rs=dfa1.0&amp;vr=2.0&amp;DB=PROFILER-WLD&amp;DocName=0223540001&amp;FindType=h" TargetMode="External"/><Relationship Id="rId30" Type="http://schemas.openxmlformats.org/officeDocument/2006/relationships/hyperlink" Target="http://www.westlaw.com/Find/Default.wl?rs=dfa1.0&amp;vr=2.0&amp;DB=PROFILER-WLD&amp;DocName=0249798901&amp;FindType=h" TargetMode="External"/><Relationship Id="rId35" Type="http://schemas.openxmlformats.org/officeDocument/2006/relationships/hyperlink" Target="http://www.westlaw.com/Find/Default.wl?rs=dfa1.0&amp;vr=2.0&amp;DB=506&amp;FindType=Y&amp;ReferencePositionType=S&amp;SerialNum=2002474291&amp;ReferencePosition=126" TargetMode="External"/><Relationship Id="rId43" Type="http://schemas.openxmlformats.org/officeDocument/2006/relationships/hyperlink" Target="http://www.westlaw.com/Find/Default.wl?rs=dfa1.0&amp;vr=2.0&amp;DB=506&amp;FindType=Y&amp;ReferencePositionType=S&amp;SerialNum=2004493872&amp;ReferencePosition=349" TargetMode="External"/><Relationship Id="rId48" Type="http://schemas.openxmlformats.org/officeDocument/2006/relationships/hyperlink" Target="http://www.westlaw.com/Find/Default.wl?rs=dfa1.0&amp;vr=2.0&amp;FindType=Y&amp;SerialNum=2003567502" TargetMode="External"/><Relationship Id="rId56" Type="http://schemas.openxmlformats.org/officeDocument/2006/relationships/hyperlink" Target="http://www.westlaw.com/Find/Default.wl?rs=dfa1.0&amp;vr=2.0&amp;DB=1000546&amp;DocName=8USCAS1227&amp;FindType=L&amp;ReferencePositionType=T&amp;ReferencePosition=SP_b4cb00009d733" TargetMode="External"/><Relationship Id="rId64" Type="http://schemas.openxmlformats.org/officeDocument/2006/relationships/hyperlink" Target="http://www.westlaw.com/Find/Default.wl?rs=dfa1.0&amp;vr=2.0&amp;DB=0001650&amp;FindType=Y&amp;ReferencePositionType=S&amp;SerialNum=2005393978&amp;ReferencePosition=687" TargetMode="External"/><Relationship Id="rId69" Type="http://schemas.openxmlformats.org/officeDocument/2006/relationships/hyperlink" Target="http://www.westlaw.com/Find/Default.wl?rs=dfa1.0&amp;vr=2.0&amp;FindType=Y&amp;SerialNum=2005393978" TargetMode="External"/><Relationship Id="rId77" Type="http://schemas.openxmlformats.org/officeDocument/2006/relationships/hyperlink" Target="http://www.westlaw.com/Find/Default.wl?rs=dfa1.0&amp;vr=2.0&amp;DB=1000546&amp;DocName=8USCAS1227&amp;FindType=L&amp;ReferencePositionType=T&amp;ReferencePosition=SP_b4cb00009d733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westlaw.com/Find/Default.wl?rs=dfa1.0&amp;vr=2.0&amp;DB=1000546&amp;DocName=8USCAS1229B&amp;FindType=L&amp;ReferencePositionType=T&amp;ReferencePosition=SP_8b3b0000958a4" TargetMode="External"/><Relationship Id="rId72" Type="http://schemas.openxmlformats.org/officeDocument/2006/relationships/hyperlink" Target="http://www.westlaw.com/Find/Default.wl?rs=dfa1.0&amp;vr=2.0&amp;DB=0001650&amp;FindType=Y&amp;ReferencePositionType=S&amp;SerialNum=2005393978&amp;ReferencePosition=687" TargetMode="External"/><Relationship Id="rId80" Type="http://schemas.openxmlformats.org/officeDocument/2006/relationships/hyperlink" Target="http://www.westlaw.com/Find/Default.wl?rs=dfa1.0&amp;vr=2.0&amp;DB=1000546&amp;DocName=8USCAS1101&amp;FindType=L&amp;ReferencePositionType=T&amp;ReferencePosition=SP_c12800006c6a3" TargetMode="External"/><Relationship Id="rId85" Type="http://schemas.openxmlformats.org/officeDocument/2006/relationships/hyperlink" Target="http://www.westlaw.com/Find/Default.wl?rs=dfa1.0&amp;vr=2.0&amp;DB=506&amp;FindType=Y&amp;SerialNum=201789521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westlaw.com/KeyNumber/Default.wl?rs=dfa1.0&amp;vr=2.0&amp;CMD=KEY&amp;DocName=24" TargetMode="External"/><Relationship Id="rId17" Type="http://schemas.openxmlformats.org/officeDocument/2006/relationships/hyperlink" Target="http://www.westlaw.com/Digest/Default.wl?rs=dfa1.0&amp;vr=2.0&amp;CMD=MCC&amp;DocName=24k411" TargetMode="External"/><Relationship Id="rId25" Type="http://schemas.openxmlformats.org/officeDocument/2006/relationships/hyperlink" Target="http://www.westlaw.com/Find/Default.wl?rs=dfa1.0&amp;vr=2.0&amp;DB=PROFILER-WLD&amp;DocName=0216113001&amp;FindType=h" TargetMode="External"/><Relationship Id="rId33" Type="http://schemas.openxmlformats.org/officeDocument/2006/relationships/hyperlink" Target="http://www.westlaw.com/Find/Default.wl?rs=dfa1.0&amp;vr=2.0&amp;DB=506&amp;FindType=Y&amp;ReferencePositionType=S&amp;SerialNum=2020491977&amp;ReferencePosition=588" TargetMode="External"/><Relationship Id="rId38" Type="http://schemas.openxmlformats.org/officeDocument/2006/relationships/hyperlink" Target="http://www.westlaw.com/Find/Default.wl?rs=dfa1.0&amp;vr=2.0&amp;DB=506&amp;FindType=Y&amp;ReferencePositionType=S&amp;SerialNum=2012545322&amp;ReferencePosition=228" TargetMode="External"/><Relationship Id="rId46" Type="http://schemas.openxmlformats.org/officeDocument/2006/relationships/hyperlink" Target="http://www.westlaw.com/Find/Default.wl?rs=dfa1.0&amp;vr=2.0&amp;DB=708&amp;FindType=Y&amp;SerialNum=1984130736" TargetMode="External"/><Relationship Id="rId59" Type="http://schemas.openxmlformats.org/officeDocument/2006/relationships/hyperlink" Target="http://www.westlaw.com/Find/Default.wl?rs=dfa1.0&amp;vr=2.0&amp;DB=1000045&amp;DocName=NJST2C%3A1-4&amp;FindType=L" TargetMode="External"/><Relationship Id="rId67" Type="http://schemas.openxmlformats.org/officeDocument/2006/relationships/hyperlink" Target="http://www.westlaw.com/Find/Default.wl?rs=dfa1.0&amp;vr=2.0&amp;DB=0001650&amp;FindType=Y&amp;ReferencePositionType=S&amp;SerialNum=2005393978&amp;ReferencePosition=685" TargetMode="External"/><Relationship Id="rId20" Type="http://schemas.openxmlformats.org/officeDocument/2006/relationships/hyperlink" Target="http://www.westlaw.com/Find/Default.wl?rs=dfa1.0&amp;vr=2.0&amp;DB=PROFILER-WLD&amp;DocName=0320392501&amp;FindType=h" TargetMode="External"/><Relationship Id="rId41" Type="http://schemas.openxmlformats.org/officeDocument/2006/relationships/hyperlink" Target="http://www.westlaw.com/Find/Default.wl?rs=dfa1.0&amp;vr=2.0&amp;FindType=Y&amp;SerialNum=1984130736" TargetMode="External"/><Relationship Id="rId54" Type="http://schemas.openxmlformats.org/officeDocument/2006/relationships/hyperlink" Target="http://www.westlaw.com/Find/Default.wl?rs=dfa1.0&amp;vr=2.0&amp;DB=1000546&amp;DocName=8USCAS1229B&amp;FindType=L&amp;ReferencePositionType=T&amp;ReferencePosition=SP_e07e0000a9f57" TargetMode="External"/><Relationship Id="rId62" Type="http://schemas.openxmlformats.org/officeDocument/2006/relationships/hyperlink" Target="http://www.westlaw.com/Find/Default.wl?rs=dfa1.0&amp;vr=2.0&amp;DB=0001650&amp;FindType=Y&amp;SerialNum=2005393978" TargetMode="External"/><Relationship Id="rId70" Type="http://schemas.openxmlformats.org/officeDocument/2006/relationships/hyperlink" Target="http://www.westlaw.com/Find/Default.wl?rs=dfa1.0&amp;vr=2.0&amp;DB=1000546&amp;DocName=8USCAS1101&amp;FindType=L&amp;ReferencePositionType=T&amp;ReferencePosition=SP_c12800006c6a3" TargetMode="External"/><Relationship Id="rId75" Type="http://schemas.openxmlformats.org/officeDocument/2006/relationships/hyperlink" Target="http://www.westlaw.com/Find/Default.wl?rs=dfa1.0&amp;vr=2.0&amp;DB=1000547&amp;DocName=8CFRS1240.8&amp;FindType=L&amp;ReferencePositionType=T&amp;ReferencePosition=SP_5ba1000067d06" TargetMode="External"/><Relationship Id="rId83" Type="http://schemas.openxmlformats.org/officeDocument/2006/relationships/hyperlink" Target="http://www.westlaw.com/Find/Default.wl?rs=dfa1.0&amp;vr=2.0&amp;DB=506&amp;FindType=Y&amp;SerialNum=1996246539" TargetMode="External"/><Relationship Id="rId88" Type="http://schemas.openxmlformats.org/officeDocument/2006/relationships/hyperlink" Target="http://www.westlaw.com/Find/Default.wl?rs=dfa1.0&amp;vr=2.0&amp;DB=1000546&amp;DocName=8USCAS1101&amp;FindType=L&amp;ReferencePositionType=T&amp;ReferencePosition=SP_c12800006c6a3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westlaw.com/KeyNumber/Default.wl?rs=dfa1.0&amp;vr=2.0&amp;CMD=KEY&amp;DocName=24k406" TargetMode="External"/><Relationship Id="rId23" Type="http://schemas.openxmlformats.org/officeDocument/2006/relationships/hyperlink" Target="http://www.westlaw.com/Find/Default.wl?rs=dfa1.0&amp;vr=2.0&amp;DB=PROFILER-WLD&amp;DocName=0117926001&amp;FindType=h" TargetMode="External"/><Relationship Id="rId28" Type="http://schemas.openxmlformats.org/officeDocument/2006/relationships/hyperlink" Target="http://www.westlaw.com/Find/Default.wl?rs=dfa1.0&amp;vr=2.0&amp;DB=PROFILER-WLD&amp;DocName=0162146401&amp;FindType=h" TargetMode="External"/><Relationship Id="rId36" Type="http://schemas.openxmlformats.org/officeDocument/2006/relationships/hyperlink" Target="http://www.westlaw.com/Find/Default.wl?rs=dfa1.0&amp;vr=2.0&amp;DB=506&amp;FindType=Y&amp;ReferencePositionType=S&amp;SerialNum=2002474291&amp;ReferencePosition=126" TargetMode="External"/><Relationship Id="rId49" Type="http://schemas.openxmlformats.org/officeDocument/2006/relationships/hyperlink" Target="http://www.westlaw.com/Find/Default.wl?rs=dfa1.0&amp;vr=2.0&amp;FindType=Y&amp;SerialNum=1984130736" TargetMode="External"/><Relationship Id="rId57" Type="http://schemas.openxmlformats.org/officeDocument/2006/relationships/hyperlink" Target="http://www.westlaw.com/Find/Default.wl?rs=dfa1.0&amp;vr=2.0&amp;DB=1000546&amp;DocName=8USCAS1227&amp;FindType=L&amp;ReferencePositionType=T&amp;ReferencePosition=SP_d86d0000be040" TargetMode="External"/><Relationship Id="rId10" Type="http://schemas.openxmlformats.org/officeDocument/2006/relationships/hyperlink" Target="http://www.westlaw.com/Find/Default.wl?rs=dfa1.0&amp;vr=2.0&amp;DB=PROFILER-WLD&amp;DocName=0249798901&amp;FindType=h" TargetMode="External"/><Relationship Id="rId31" Type="http://schemas.openxmlformats.org/officeDocument/2006/relationships/hyperlink" Target="http://www.westlaw.com/Find/Default.wl?rs=dfa1.0&amp;vr=2.0&amp;DB=1000546&amp;DocName=8USCAS1229B&amp;FindType=L&amp;ReferencePositionType=T&amp;ReferencePosition=SP_8b3b0000958a4" TargetMode="External"/><Relationship Id="rId44" Type="http://schemas.openxmlformats.org/officeDocument/2006/relationships/hyperlink" Target="http://www.westlaw.com/Find/Default.wl?rs=dfa1.0&amp;vr=2.0&amp;DB=506&amp;FindType=Y&amp;ReferencePositionType=S&amp;SerialNum=2003567502&amp;ReferencePosition=222" TargetMode="External"/><Relationship Id="rId52" Type="http://schemas.openxmlformats.org/officeDocument/2006/relationships/hyperlink" Target="http://www.westlaw.com/Find/Default.wl?rs=dfa1.0&amp;vr=2.0&amp;DB=1000546&amp;DocName=8USCAS1229B&amp;FindType=L&amp;ReferencePositionType=T&amp;ReferencePosition=SP_8b3b0000958a4" TargetMode="External"/><Relationship Id="rId60" Type="http://schemas.openxmlformats.org/officeDocument/2006/relationships/hyperlink" Target="http://www.westlaw.com/Find/Default.wl?rs=dfa1.0&amp;vr=2.0&amp;DB=1000045&amp;DocName=NJST2C%3A20-11&amp;FindType=L" TargetMode="External"/><Relationship Id="rId65" Type="http://schemas.openxmlformats.org/officeDocument/2006/relationships/hyperlink" Target="http://www.westlaw.com/Find/Default.wl?rs=dfa1.0&amp;vr=2.0&amp;FindType=Y&amp;SerialNum=2005393978" TargetMode="External"/><Relationship Id="rId73" Type="http://schemas.openxmlformats.org/officeDocument/2006/relationships/hyperlink" Target="http://www.westlaw.com/Find/Default.wl?rs=dfa1.0&amp;vr=2.0&amp;DB=1000546&amp;DocName=8USCAS1227&amp;FindType=L&amp;ReferencePositionType=T&amp;ReferencePosition=SP_b4cb00009d733" TargetMode="External"/><Relationship Id="rId78" Type="http://schemas.openxmlformats.org/officeDocument/2006/relationships/hyperlink" Target="http://www.westlaw.com/Find/Default.wl?rs=dfa1.0&amp;vr=2.0&amp;FindType=Y&amp;SerialNum=1984130736" TargetMode="External"/><Relationship Id="rId81" Type="http://schemas.openxmlformats.org/officeDocument/2006/relationships/hyperlink" Target="http://www.westlaw.com/Find/Default.wl?rs=dfa1.0&amp;vr=2.0&amp;DB=1000546&amp;DocName=8USCAS1227&amp;FindType=L&amp;ReferencePositionType=T&amp;ReferencePosition=SP_b4cb00009d733" TargetMode="External"/><Relationship Id="rId86" Type="http://schemas.openxmlformats.org/officeDocument/2006/relationships/hyperlink" Target="http://www.westlaw.com/Find/Default.wl?rs=dfa1.0&amp;vr=2.0&amp;FindType=Y&amp;SerialNum=199624653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3714</Words>
  <Characters>21171</Characters>
  <Application>Microsoft Office Word</Application>
  <DocSecurity>0</DocSecurity>
  <Lines>176</Lines>
  <Paragraphs>49</Paragraphs>
  <ScaleCrop>false</ScaleCrop>
  <Company>Microsoft</Company>
  <LinksUpToDate>false</LinksUpToDate>
  <CharactersWithSpaces>24836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11.5.2.1.V2</dc:creator>
  <cp:lastModifiedBy>Ron</cp:lastModifiedBy>
  <cp:revision>2</cp:revision>
  <dcterms:created xsi:type="dcterms:W3CDTF">2011-05-27T21:11:00Z</dcterms:created>
  <dcterms:modified xsi:type="dcterms:W3CDTF">2011-05-27T21:11:00Z</dcterms:modified>
</cp:coreProperties>
</file>