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headerReference w:type="default" r:id="rId7"/>
          <w:footerReference w:type="default" r:id="rId8"/>
          <w:pgSz w:w="12240" w:h="15840"/>
          <w:pgMar w:top="2520" w:right="1440" w:bottom="1800" w:left="1440" w:header="720" w:footer="720" w:gutter="0"/>
          <w:pgNumType w:start="1"/>
          <w:cols w:space="720"/>
          <w:noEndnote/>
        </w:sectPr>
      </w:pPr>
    </w:p>
    <w:p w:rsidR="00000000" w:rsidRDefault="0085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Document0zzSDUNumber1"/>
      <w:bookmarkEnd w:id="0"/>
      <w:r>
        <w:rPr>
          <w:rFonts w:ascii="Times New Roman" w:hAnsi="Times New Roman"/>
          <w:color w:val="000000"/>
          <w:sz w:val="20"/>
          <w:szCs w:val="2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2pt;height:10.2pt">
            <v:imagedata r:id="rId9" o:title=""/>
          </v:shape>
        </w:pict>
      </w: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This case was not selected for publication in the Fe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eral Reporter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Not for Publication in West's Federal Reporter See Fed. Rule of Appellate Procedure 32.1 generally g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verning citation of judicial decisions issued on or after Jan. 1, 2007. See also Third Circuit LAR, App. I, IOP 5.7. (Find CTA3 App. I, IOP 5.7)</w:t>
      </w: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United</w:t>
      </w:r>
      <w:r>
        <w:rPr>
          <w:rFonts w:ascii="Times New Roman" w:hAnsi="Times New Roman"/>
          <w:color w:val="000000"/>
          <w:sz w:val="20"/>
          <w:szCs w:val="20"/>
        </w:rPr>
        <w:t xml:space="preserve"> States Court of Appeals,</w:t>
      </w: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Third Circuit.</w:t>
      </w: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Luis Alberto PRETELT, Petitioner</w:t>
      </w: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v.</w:t>
      </w: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ATTORNEY GENERAL OF the UNITED STATES, Respondent.</w:t>
      </w: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No. 08-4051.</w:t>
      </w: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Submitted Pursuant to Third Circuit LAR 34.1(a) March 10, 2010. </w:t>
      </w: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Opinion filed: March 16, 2010.</w:t>
      </w: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Background:</w:t>
      </w:r>
      <w:r>
        <w:rPr>
          <w:rFonts w:ascii="Times New Roman" w:hAnsi="Times New Roman"/>
          <w:color w:val="000000"/>
          <w:sz w:val="20"/>
          <w:szCs w:val="20"/>
        </w:rPr>
        <w:t xml:space="preserve"> Alien, a native and citizen of Colombia, petitioned for review of a Board of Imm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gration A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z w:val="20"/>
          <w:szCs w:val="20"/>
        </w:rPr>
        <w:t>peals (BIA) decision affirming immigration judge's (IJ) denial of application for cance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lation of removal.</w:t>
      </w: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Holding:</w:t>
      </w:r>
      <w:r>
        <w:rPr>
          <w:rFonts w:ascii="Times New Roman" w:hAnsi="Times New Roman"/>
          <w:color w:val="000000"/>
          <w:sz w:val="20"/>
          <w:szCs w:val="20"/>
        </w:rPr>
        <w:t xml:space="preserve"> The Court of Appeals held that alien's crime of arson in the third degree qualified as crime of moral turpitude.</w:t>
      </w: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Petition denied.</w:t>
      </w: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West Headnotes</w:t>
      </w: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Document1zz2021553610"/>
      <w:bookmarkEnd w:id="1"/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Aliens, Immigration, and Citizenship 24 </w:t>
      </w:r>
      <w:r w:rsidR="008545FD">
        <w:rPr>
          <w:rFonts w:ascii="Times New Roman" w:hAnsi="Times New Roman"/>
          <w:b/>
          <w:bCs/>
          <w:color w:val="000000"/>
          <w:sz w:val="20"/>
          <w:szCs w:val="20"/>
        </w:rPr>
        <w:pict>
          <v:shape id="_x0000_i1026" type="#_x0000_t75" style="width:19.8pt;height:10.2pt">
            <v:imagedata r:id="rId10" o:title=""/>
          </v:shape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272</w:t>
      </w: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1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24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 Aliens, Immigration, and Citizenship</w:t>
      </w: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     </w:t>
      </w:r>
      <w:hyperlink r:id="rId12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24V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 Den</w:t>
      </w:r>
      <w:r>
        <w:rPr>
          <w:rFonts w:ascii="Times New Roman" w:hAnsi="Times New Roman"/>
          <w:color w:val="000000"/>
          <w:sz w:val="20"/>
          <w:szCs w:val="20"/>
        </w:rPr>
        <w:t>ial of Admission and Removal</w:t>
      </w: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           </w:t>
      </w:r>
      <w:hyperlink r:id="rId13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24V(C)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 Removal or Deportation; Grounds</w:t>
      </w: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               </w:t>
      </w:r>
      <w:hyperlink r:id="rId14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24k270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 Crime and Related Grounds</w:t>
      </w: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                     </w:t>
      </w:r>
      <w:hyperlink r:id="rId15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24k272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 k. Crimes of moral turpitude in general. </w:t>
      </w:r>
      <w:hyperlink r:id="rId16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Most Cited Cases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Document1zzI5589d46cc6ff11df9b8c85033233"/>
      <w:bookmarkEnd w:id="2"/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Alien's crime of arson in the third degree under New Jersey law included the requisite rec</w:t>
      </w:r>
      <w:r>
        <w:rPr>
          <w:rFonts w:ascii="Times New Roman" w:hAnsi="Times New Roman"/>
          <w:color w:val="000000"/>
          <w:sz w:val="20"/>
          <w:szCs w:val="20"/>
        </w:rPr>
        <w:t>k</w:t>
      </w:r>
      <w:r>
        <w:rPr>
          <w:rFonts w:ascii="Times New Roman" w:hAnsi="Times New Roman"/>
          <w:color w:val="000000"/>
          <w:sz w:val="20"/>
          <w:szCs w:val="20"/>
        </w:rPr>
        <w:t xml:space="preserve">lessness in relation to the risk of injury or death to qualify it as a </w:t>
      </w:r>
      <w:r>
        <w:rPr>
          <w:rFonts w:ascii="Times New Roman" w:hAnsi="Times New Roman"/>
          <w:color w:val="000000"/>
          <w:sz w:val="20"/>
          <w:szCs w:val="20"/>
        </w:rPr>
        <w:lastRenderedPageBreak/>
        <w:t>crime of moral turpitude, so as to subject alien to removal for a crime of moral turpitude. Im</w:t>
      </w:r>
      <w:r>
        <w:rPr>
          <w:rFonts w:ascii="Times New Roman" w:hAnsi="Times New Roman"/>
          <w:color w:val="000000"/>
          <w:sz w:val="20"/>
          <w:szCs w:val="20"/>
        </w:rPr>
        <w:t xml:space="preserve">migration and Nationality Act, § 237(a)(2)(A)(i), </w:t>
      </w:r>
      <w:hyperlink r:id="rId17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8 U.S.C.A. § 1227(a)(2)(A)(i)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; </w:t>
      </w:r>
      <w:hyperlink r:id="rId18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N.J.S.A. 2C:2-6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, </w:t>
      </w:r>
      <w:hyperlink r:id="rId19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2C:17-1</w:t>
        </w:r>
      </w:hyperlink>
      <w:r>
        <w:rPr>
          <w:rFonts w:ascii="Times New Roman" w:hAnsi="Times New Roman"/>
          <w:color w:val="000000"/>
          <w:sz w:val="20"/>
          <w:szCs w:val="20"/>
        </w:rPr>
        <w:t>(b)(1).</w:t>
      </w: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*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338</w:t>
      </w:r>
      <w:r>
        <w:rPr>
          <w:rFonts w:ascii="Times New Roman" w:hAnsi="Times New Roman"/>
          <w:color w:val="000000"/>
          <w:sz w:val="20"/>
          <w:szCs w:val="20"/>
        </w:rPr>
        <w:t xml:space="preserve"> On Petition for Review of an Order of the Board of Immigration Appeals, (Agency No. A47-204-696), Immigration Judge: Honorable Henry S. D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gin.</w:t>
      </w:r>
      <w:hyperlink r:id="rId20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Nicholas J. Mundy</w:t>
        </w:r>
      </w:hyperlink>
      <w:r>
        <w:rPr>
          <w:rFonts w:ascii="Times New Roman" w:hAnsi="Times New Roman"/>
          <w:color w:val="000000"/>
          <w:sz w:val="20"/>
          <w:szCs w:val="20"/>
        </w:rPr>
        <w:t>, Esq., Brooklyn, NY, for Pet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tioner.</w:t>
      </w: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Brichard M. Evans, Esq., </w:t>
      </w:r>
      <w:hyperlink r:id="rId21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Thomas W. Hussey</w:t>
        </w:r>
      </w:hyperlink>
      <w:r>
        <w:rPr>
          <w:rFonts w:ascii="Times New Roman" w:hAnsi="Times New Roman"/>
          <w:color w:val="000000"/>
          <w:sz w:val="20"/>
          <w:szCs w:val="20"/>
        </w:rPr>
        <w:t>, Esq., Virginia M. Lum, Esq., Andrew</w:t>
      </w:r>
      <w:r>
        <w:rPr>
          <w:rFonts w:ascii="Times New Roman" w:hAnsi="Times New Roman"/>
          <w:color w:val="000000"/>
          <w:sz w:val="20"/>
          <w:szCs w:val="20"/>
        </w:rPr>
        <w:t xml:space="preserve"> J. Oliveira, Esq., United States Department of Justice Office Of I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 xml:space="preserve">gration Litigation, Washington, DC, </w:t>
      </w:r>
      <w:hyperlink r:id="rId22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Michael B. M</w:t>
        </w:r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u</w:t>
        </w:r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kasey</w:t>
        </w:r>
      </w:hyperlink>
      <w:r>
        <w:rPr>
          <w:rFonts w:ascii="Times New Roman" w:hAnsi="Times New Roman"/>
          <w:color w:val="000000"/>
          <w:sz w:val="20"/>
          <w:szCs w:val="20"/>
        </w:rPr>
        <w:t>, Esq., Debevois</w:t>
      </w:r>
      <w:r>
        <w:rPr>
          <w:rFonts w:ascii="Times New Roman" w:hAnsi="Times New Roman"/>
          <w:color w:val="000000"/>
          <w:sz w:val="20"/>
          <w:szCs w:val="20"/>
        </w:rPr>
        <w:t>e &amp; Plimpton, New York, NY, for Respondent.</w:t>
      </w: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Before: </w:t>
      </w:r>
      <w:hyperlink r:id="rId23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FUENTES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, </w:t>
      </w:r>
      <w:hyperlink r:id="rId24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ROTH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 and VAN ANTWERPEN, Circuit Judges.</w:t>
      </w: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OPINION</w:t>
      </w: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PER CURIAM.</w:t>
      </w: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**1</w:t>
      </w:r>
      <w:r>
        <w:rPr>
          <w:rFonts w:ascii="Times New Roman" w:hAnsi="Times New Roman"/>
          <w:color w:val="000000"/>
          <w:sz w:val="20"/>
          <w:szCs w:val="20"/>
        </w:rPr>
        <w:t xml:space="preserve"> Luis Alberto Pretelt, a citizen of Colombia, was admitted to the United States as lawful permanent residen</w:t>
      </w:r>
      <w:r>
        <w:rPr>
          <w:rFonts w:ascii="Times New Roman" w:hAnsi="Times New Roman"/>
          <w:color w:val="000000"/>
          <w:sz w:val="20"/>
          <w:szCs w:val="20"/>
        </w:rPr>
        <w:t xml:space="preserve">t on October 23, 1999. On August 9, 2005, he was convicted of arson in the third degree in New Jersey under </w:t>
      </w:r>
      <w:hyperlink r:id="rId25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N.J. Stat. Ann. §§ 2C:17-1</w:t>
        </w:r>
      </w:hyperlink>
      <w:r>
        <w:rPr>
          <w:rFonts w:ascii="Times New Roman" w:hAnsi="Times New Roman"/>
          <w:color w:val="000000"/>
          <w:sz w:val="20"/>
          <w:szCs w:val="20"/>
        </w:rPr>
        <w:t>(b)(1) a</w:t>
      </w:r>
      <w:r>
        <w:rPr>
          <w:rFonts w:ascii="Times New Roman" w:hAnsi="Times New Roman"/>
          <w:color w:val="000000"/>
          <w:sz w:val="20"/>
          <w:szCs w:val="20"/>
        </w:rPr>
        <w:t xml:space="preserve">nd </w:t>
      </w:r>
      <w:hyperlink r:id="rId26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2C:2-6</w:t>
        </w:r>
      </w:hyperlink>
      <w:r>
        <w:rPr>
          <w:rFonts w:ascii="Times New Roman" w:hAnsi="Times New Roman"/>
          <w:color w:val="000000"/>
          <w:sz w:val="20"/>
          <w:szCs w:val="20"/>
        </w:rPr>
        <w:t>.</w:t>
      </w:r>
      <w:hyperlink w:anchor="Document1zzB00112021553610" w:history="1">
        <w:r>
          <w:rPr>
            <w:rFonts w:ascii="Times New Roman" w:hAnsi="Times New Roman"/>
            <w:color w:val="0000FF"/>
            <w:sz w:val="20"/>
            <w:szCs w:val="20"/>
            <w:u w:val="single"/>
            <w:vertAlign w:val="superscript"/>
          </w:rPr>
          <w:t>FN1</w:t>
        </w:r>
      </w:hyperlink>
      <w:bookmarkStart w:id="3" w:name="Document1zzF00112021553610"/>
      <w:bookmarkEnd w:id="3"/>
      <w:r>
        <w:rPr>
          <w:rFonts w:ascii="Times New Roman" w:hAnsi="Times New Roman"/>
          <w:color w:val="000000"/>
          <w:sz w:val="20"/>
          <w:szCs w:val="20"/>
        </w:rPr>
        <w:t xml:space="preserve"> On January 16, 2008, the Go</w:t>
      </w:r>
      <w:r>
        <w:rPr>
          <w:rFonts w:ascii="Times New Roman" w:hAnsi="Times New Roman"/>
          <w:color w:val="000000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 xml:space="preserve">ernment charged him as removable under </w:t>
      </w:r>
      <w:hyperlink r:id="rId27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8 U.S.C. § 1227(a)(2)</w:t>
        </w:r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(A)(i)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 for having committed, within five years of becoming a lawful permanent resident, a crime of moral turpitude for which a sentence of one year or more may be imposed. Pretelt applied for cancellation of removal. The Immigration Judge (</w:t>
      </w:r>
      <w:r>
        <w:rPr>
          <w:rFonts w:ascii="Times New Roman" w:hAnsi="Times New Roman"/>
          <w:color w:val="000000"/>
          <w:sz w:val="20"/>
          <w:szCs w:val="20"/>
        </w:rPr>
        <w:t>“</w:t>
      </w:r>
      <w:r>
        <w:rPr>
          <w:rFonts w:ascii="Times New Roman" w:hAnsi="Times New Roman"/>
          <w:color w:val="000000"/>
          <w:sz w:val="20"/>
          <w:szCs w:val="20"/>
        </w:rPr>
        <w:t>IJ</w:t>
      </w:r>
      <w:r>
        <w:rPr>
          <w:rFonts w:ascii="Times New Roman" w:hAnsi="Times New Roman"/>
          <w:color w:val="000000"/>
          <w:sz w:val="20"/>
          <w:szCs w:val="20"/>
        </w:rPr>
        <w:t>”</w:t>
      </w:r>
      <w:r>
        <w:rPr>
          <w:rFonts w:ascii="Times New Roman" w:hAnsi="Times New Roman"/>
          <w:color w:val="000000"/>
          <w:sz w:val="20"/>
          <w:szCs w:val="20"/>
        </w:rPr>
        <w:t xml:space="preserve">) denied </w:t>
      </w:r>
      <w:r>
        <w:rPr>
          <w:rFonts w:ascii="Times New Roman" w:hAnsi="Times New Roman"/>
          <w:color w:val="000000"/>
          <w:sz w:val="20"/>
          <w:szCs w:val="20"/>
        </w:rPr>
        <w:t>Pretelt's application and determined that Pretelt was removable as charged. Pretelt appealed to the BIA, which affirmed the IJ's decision and dismissed Pretelt's appeal.</w:t>
      </w: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Document1zzF00112021553610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FN1.</w:t>
        </w:r>
      </w:hyperlink>
      <w:bookmarkStart w:id="4" w:name="Document1zzB00112021553610"/>
      <w:bookmarkEnd w:id="4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hyperlink r:id="rId28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Section 2C:2-6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 is a general liability provision. </w:t>
      </w:r>
      <w:hyperlink r:id="rId29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Section 2C:17-1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 describes arson and related offenses; although it has many sections, there is no dispute that Pretelt's conviction was under subsection (b)(1).</w:t>
      </w: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Pretelt presents a petition for review. The Go</w:t>
      </w:r>
      <w:r>
        <w:rPr>
          <w:rFonts w:ascii="Times New Roman" w:hAnsi="Times New Roman"/>
          <w:color w:val="000000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lastRenderedPageBreak/>
        <w:t>ernment init</w:t>
      </w:r>
      <w:r>
        <w:rPr>
          <w:rFonts w:ascii="Times New Roman" w:hAnsi="Times New Roman"/>
          <w:color w:val="000000"/>
          <w:sz w:val="20"/>
          <w:szCs w:val="20"/>
        </w:rPr>
        <w:t>ially submitted a motion to dismiss Pr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telt's petition, arguing that the Court lacks jurisdiction because Pretelt was convicted of a crime involving moral turpitude and raises no legal or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*339</w:t>
      </w:r>
      <w:r>
        <w:rPr>
          <w:rFonts w:ascii="Times New Roman" w:hAnsi="Times New Roman"/>
          <w:color w:val="000000"/>
          <w:sz w:val="20"/>
          <w:szCs w:val="20"/>
        </w:rPr>
        <w:t xml:space="preserve"> constit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tional issues. However, in its brief, the Government do</w:t>
      </w:r>
      <w:r>
        <w:rPr>
          <w:rFonts w:ascii="Times New Roman" w:hAnsi="Times New Roman"/>
          <w:color w:val="000000"/>
          <w:sz w:val="20"/>
          <w:szCs w:val="20"/>
        </w:rPr>
        <w:t xml:space="preserve">es not pursue its jurisdictional argument, instead requesting that we deny the petition on the merits. As the Government realizes, we retain jurisdiction under </w:t>
      </w:r>
      <w:hyperlink r:id="rId30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8 U.S.C. § 1252(a)(2)(D)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 over constitutional claims and questions of law raised in a petition for review. Accordingly, we deny the Government's motion and review the issue that Prete</w:t>
      </w:r>
      <w:r>
        <w:rPr>
          <w:rFonts w:ascii="Times New Roman" w:hAnsi="Times New Roman"/>
          <w:color w:val="000000"/>
          <w:sz w:val="20"/>
          <w:szCs w:val="20"/>
        </w:rPr>
        <w:t xml:space="preserve">lt raises, namely whether his crime was a crime of moral turpitude.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Cf. </w:t>
      </w:r>
      <w:hyperlink r:id="rId31" w:history="1">
        <w:r>
          <w:rPr>
            <w:rFonts w:ascii="Times New Roman" w:hAnsi="Times New Roman"/>
            <w:i/>
            <w:iCs/>
            <w:color w:val="0000FF"/>
            <w:sz w:val="20"/>
            <w:szCs w:val="20"/>
            <w:u w:val="single"/>
          </w:rPr>
          <w:t>Garcia v. Attorney Gen. of the U</w:t>
        </w:r>
        <w:r>
          <w:rPr>
            <w:rFonts w:ascii="Times New Roman" w:hAnsi="Times New Roman"/>
            <w:i/>
            <w:iCs/>
            <w:color w:val="0000FF"/>
            <w:sz w:val="20"/>
            <w:szCs w:val="20"/>
            <w:u w:val="single"/>
          </w:rPr>
          <w:t>nited States,</w:t>
        </w:r>
      </w:hyperlink>
      <w:hyperlink r:id="rId32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 xml:space="preserve"> 462 F.3d 287, 291 (3d Cir.2006)</w:t>
        </w:r>
      </w:hyperlink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The specific issue is whether the crime (arson in </w:t>
      </w:r>
      <w:r>
        <w:rPr>
          <w:rFonts w:ascii="Times New Roman" w:hAnsi="Times New Roman"/>
          <w:color w:val="000000"/>
          <w:sz w:val="20"/>
          <w:szCs w:val="20"/>
        </w:rPr>
        <w:t>the third degree) for which Pretelt was co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victed is a crime of moral turpitude. (It is undisputed that Pretelt committed a crime (on May 11, 2004) within five years of becoming a lawful permanent resident (on October 23, 1999) for which he was subject to </w:t>
      </w:r>
      <w:r>
        <w:rPr>
          <w:rFonts w:ascii="Times New Roman" w:hAnsi="Times New Roman"/>
          <w:color w:val="000000"/>
          <w:sz w:val="20"/>
          <w:szCs w:val="20"/>
        </w:rPr>
        <w:t xml:space="preserve">a term of imprisonment of one year or more,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see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hyperlink r:id="rId33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N.J. Stat. Ann. § 2C:43-6</w:t>
        </w:r>
      </w:hyperlink>
      <w:r>
        <w:rPr>
          <w:rFonts w:ascii="Times New Roman" w:hAnsi="Times New Roman"/>
          <w:color w:val="000000"/>
          <w:sz w:val="20"/>
          <w:szCs w:val="20"/>
        </w:rPr>
        <w:t>(a)(3).) Upon review, we hold that the agency reasonably concluded th</w:t>
      </w:r>
      <w:r>
        <w:rPr>
          <w:rFonts w:ascii="Times New Roman" w:hAnsi="Times New Roman"/>
          <w:color w:val="000000"/>
          <w:sz w:val="20"/>
          <w:szCs w:val="20"/>
        </w:rPr>
        <w:t>at Pretelt committed a crime of moral tu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pitude.</w:t>
      </w: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In </w:t>
      </w:r>
      <w:hyperlink r:id="rId34" w:history="1">
        <w:r>
          <w:rPr>
            <w:rFonts w:ascii="Times New Roman" w:hAnsi="Times New Roman"/>
            <w:i/>
            <w:iCs/>
            <w:color w:val="0000FF"/>
            <w:sz w:val="20"/>
            <w:szCs w:val="20"/>
            <w:u w:val="single"/>
          </w:rPr>
          <w:t>Partyka v. Attorney General of the United States,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 we summarized the inquiry into whether a crime invo</w:t>
      </w:r>
      <w:r>
        <w:rPr>
          <w:rFonts w:ascii="Times New Roman" w:hAnsi="Times New Roman"/>
          <w:color w:val="000000"/>
          <w:sz w:val="20"/>
          <w:szCs w:val="20"/>
        </w:rPr>
        <w:t>lves moral turpitude:</w:t>
      </w: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Whether an alien's crime involves moral turpitude is determined by the criminal statute and the record of conviction, not the alien's conduct.... Under this categorical approach, we read the a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z w:val="20"/>
          <w:szCs w:val="20"/>
        </w:rPr>
        <w:t xml:space="preserve">plicable statute to ascertain the least </w:t>
      </w:r>
      <w:r>
        <w:rPr>
          <w:rFonts w:ascii="Times New Roman" w:hAnsi="Times New Roman"/>
          <w:color w:val="000000"/>
          <w:sz w:val="20"/>
          <w:szCs w:val="20"/>
        </w:rPr>
        <w:t xml:space="preserve">culpable conduct necessary to sustain a conviction under the statute.... As a general rule, a criminal statute defines a crime involving </w:t>
      </w:r>
      <w:r>
        <w:rPr>
          <w:rFonts w:ascii="Times New Roman" w:hAnsi="Times New Roman"/>
          <w:color w:val="000000"/>
          <w:sz w:val="20"/>
          <w:szCs w:val="20"/>
        </w:rPr>
        <w:t>“</w:t>
      </w:r>
      <w:r>
        <w:rPr>
          <w:rFonts w:ascii="Times New Roman" w:hAnsi="Times New Roman"/>
          <w:color w:val="000000"/>
          <w:sz w:val="20"/>
          <w:szCs w:val="20"/>
        </w:rPr>
        <w:t>moral turpitude only if all of the conduct it proh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bits is turpitudinous.</w:t>
      </w:r>
      <w:r>
        <w:rPr>
          <w:rFonts w:ascii="Times New Roman" w:hAnsi="Times New Roman"/>
          <w:color w:val="000000"/>
          <w:sz w:val="20"/>
          <w:szCs w:val="20"/>
        </w:rPr>
        <w:t>”</w:t>
      </w:r>
      <w:r>
        <w:rPr>
          <w:rFonts w:ascii="Times New Roman" w:hAnsi="Times New Roman"/>
          <w:color w:val="000000"/>
          <w:sz w:val="20"/>
          <w:szCs w:val="20"/>
        </w:rPr>
        <w:t xml:space="preserve"> ... Where a statute covers both turpitudino</w:t>
      </w:r>
      <w:r>
        <w:rPr>
          <w:rFonts w:ascii="Times New Roman" w:hAnsi="Times New Roman"/>
          <w:color w:val="000000"/>
          <w:sz w:val="20"/>
          <w:szCs w:val="20"/>
        </w:rPr>
        <w:t xml:space="preserve">us and non-turpitudinous acts, however, it is </w:t>
      </w:r>
      <w:r>
        <w:rPr>
          <w:rFonts w:ascii="Times New Roman" w:hAnsi="Times New Roman"/>
          <w:color w:val="000000"/>
          <w:sz w:val="20"/>
          <w:szCs w:val="20"/>
        </w:rPr>
        <w:t>“</w:t>
      </w:r>
      <w:r>
        <w:rPr>
          <w:rFonts w:ascii="Times New Roman" w:hAnsi="Times New Roman"/>
          <w:color w:val="000000"/>
          <w:sz w:val="20"/>
          <w:szCs w:val="20"/>
        </w:rPr>
        <w:t>divisible,</w:t>
      </w:r>
      <w:r>
        <w:rPr>
          <w:rFonts w:ascii="Times New Roman" w:hAnsi="Times New Roman"/>
          <w:color w:val="000000"/>
          <w:sz w:val="20"/>
          <w:szCs w:val="20"/>
        </w:rPr>
        <w:t>”</w:t>
      </w:r>
      <w:r>
        <w:rPr>
          <w:rFonts w:ascii="Times New Roman" w:hAnsi="Times New Roman"/>
          <w:color w:val="000000"/>
          <w:sz w:val="20"/>
          <w:szCs w:val="20"/>
        </w:rPr>
        <w:t xml:space="preserve"> and we then look to the record of conviction to determine whether the alien was co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victed under that part of the statute defining a crime involving moral turpitude.</w:t>
      </w: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hyperlink r:id="rId35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417 F.3d 408, 412 (3d Cir.2005)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 (citations omitted);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see also </w:t>
      </w:r>
      <w:hyperlink r:id="rId36" w:history="1">
        <w:r>
          <w:rPr>
            <w:rFonts w:ascii="Times New Roman" w:hAnsi="Times New Roman"/>
            <w:i/>
            <w:iCs/>
            <w:color w:val="0000FF"/>
            <w:sz w:val="20"/>
            <w:szCs w:val="20"/>
            <w:u w:val="single"/>
          </w:rPr>
          <w:t>Jean-Louis v. Attorney Gen. of the United States,</w:t>
        </w:r>
      </w:hyperlink>
      <w:hyperlink r:id="rId37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 xml:space="preserve"> 582 F.3d 462, 466 (3d Cir.2009)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 (d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scribing our limited factual inquiry to determine the specific subpart under which a defendant was co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lastRenderedPageBreak/>
        <w:t>victed in cases in which the statute of co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viction is </w:t>
      </w:r>
      <w:r>
        <w:rPr>
          <w:rFonts w:ascii="Times New Roman" w:hAnsi="Times New Roman"/>
          <w:color w:val="000000"/>
          <w:sz w:val="20"/>
          <w:szCs w:val="20"/>
        </w:rPr>
        <w:t>“</w:t>
      </w:r>
      <w:r>
        <w:rPr>
          <w:rFonts w:ascii="Times New Roman" w:hAnsi="Times New Roman"/>
          <w:color w:val="000000"/>
          <w:sz w:val="20"/>
          <w:szCs w:val="20"/>
        </w:rPr>
        <w:t>divisible</w:t>
      </w:r>
      <w:r>
        <w:rPr>
          <w:rFonts w:ascii="Times New Roman" w:hAnsi="Times New Roman"/>
          <w:color w:val="000000"/>
          <w:sz w:val="20"/>
          <w:szCs w:val="20"/>
        </w:rPr>
        <w:t>”</w:t>
      </w:r>
      <w:r>
        <w:rPr>
          <w:rFonts w:ascii="Times New Roman" w:hAnsi="Times New Roman"/>
          <w:color w:val="000000"/>
          <w:sz w:val="20"/>
          <w:szCs w:val="20"/>
        </w:rPr>
        <w:t>).</w:t>
      </w: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**2</w:t>
      </w:r>
      <w:r>
        <w:rPr>
          <w:rFonts w:ascii="Times New Roman" w:hAnsi="Times New Roman"/>
          <w:color w:val="000000"/>
          <w:sz w:val="20"/>
          <w:szCs w:val="20"/>
        </w:rPr>
        <w:t xml:space="preserve"> The section of the statute under which Pretelt was convicted reads as follows:</w:t>
      </w: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b. Arson. A person is guilty of arson, a crime of the third degree, if he purposely starts a fire or causes an explosion, whether on his own property or anot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er's:</w:t>
      </w: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(1) Thereby recklessly placing another person in danger of death or bodily injury[.]</w:t>
      </w: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hyperlink r:id="rId38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N.J. Stat. Ann. § 2C:17-1</w:t>
        </w:r>
      </w:hyperlink>
      <w:r>
        <w:rPr>
          <w:rFonts w:ascii="Times New Roman" w:hAnsi="Times New Roman"/>
          <w:color w:val="000000"/>
          <w:sz w:val="20"/>
          <w:szCs w:val="20"/>
        </w:rPr>
        <w:t>(b)(1). New Jersey d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fines the term </w:t>
      </w:r>
      <w:r>
        <w:rPr>
          <w:rFonts w:ascii="Times New Roman" w:hAnsi="Times New Roman"/>
          <w:color w:val="000000"/>
          <w:sz w:val="20"/>
          <w:szCs w:val="20"/>
        </w:rPr>
        <w:t>“</w:t>
      </w:r>
      <w:r>
        <w:rPr>
          <w:rFonts w:ascii="Times New Roman" w:hAnsi="Times New Roman"/>
          <w:color w:val="000000"/>
          <w:sz w:val="20"/>
          <w:szCs w:val="20"/>
        </w:rPr>
        <w:t>recklessly</w:t>
      </w:r>
      <w:r>
        <w:rPr>
          <w:rFonts w:ascii="Times New Roman" w:hAnsi="Times New Roman"/>
          <w:color w:val="000000"/>
          <w:sz w:val="20"/>
          <w:szCs w:val="20"/>
        </w:rPr>
        <w:t>”</w:t>
      </w:r>
      <w:r>
        <w:rPr>
          <w:rFonts w:ascii="Times New Roman" w:hAnsi="Times New Roman"/>
          <w:color w:val="000000"/>
          <w:sz w:val="20"/>
          <w:szCs w:val="20"/>
        </w:rPr>
        <w:t xml:space="preserve"> as follows:</w:t>
      </w: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Recklessly. A person acts recklessly with respect to a materi</w:t>
      </w:r>
      <w:r>
        <w:rPr>
          <w:rFonts w:ascii="Times New Roman" w:hAnsi="Times New Roman"/>
          <w:color w:val="000000"/>
          <w:sz w:val="20"/>
          <w:szCs w:val="20"/>
        </w:rPr>
        <w:t>al element of an offense when he co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sciously disregards a substantial and unjustifiable risk that the material element exists or will result from his conduct. The risk must be of such a nature and degree that, considering the nature and purpose of the acto</w:t>
      </w:r>
      <w:r>
        <w:rPr>
          <w:rFonts w:ascii="Times New Roman" w:hAnsi="Times New Roman"/>
          <w:color w:val="000000"/>
          <w:sz w:val="20"/>
          <w:szCs w:val="20"/>
        </w:rPr>
        <w:t xml:space="preserve">r's conduct and the circumstances known to him, its disregard involves a gross deviation from the standard of conduct that a reasonable person would observe in the actor's situation. </w:t>
      </w:r>
      <w:r>
        <w:rPr>
          <w:rFonts w:ascii="Times New Roman" w:hAnsi="Times New Roman"/>
          <w:color w:val="000000"/>
          <w:sz w:val="20"/>
          <w:szCs w:val="20"/>
        </w:rPr>
        <w:t>“</w:t>
      </w:r>
      <w:r>
        <w:rPr>
          <w:rFonts w:ascii="Times New Roman" w:hAnsi="Times New Roman"/>
          <w:color w:val="000000"/>
          <w:sz w:val="20"/>
          <w:szCs w:val="20"/>
        </w:rPr>
        <w:t>Reckles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ness,</w:t>
      </w:r>
      <w:r>
        <w:rPr>
          <w:rFonts w:ascii="Times New Roman" w:hAnsi="Times New Roman"/>
          <w:color w:val="000000"/>
          <w:sz w:val="20"/>
          <w:szCs w:val="20"/>
        </w:rPr>
        <w:t>”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“</w:t>
      </w:r>
      <w:r>
        <w:rPr>
          <w:rFonts w:ascii="Times New Roman" w:hAnsi="Times New Roman"/>
          <w:color w:val="000000"/>
          <w:sz w:val="20"/>
          <w:szCs w:val="20"/>
        </w:rPr>
        <w:t>with recklessness</w:t>
      </w:r>
      <w:r>
        <w:rPr>
          <w:rFonts w:ascii="Times New Roman" w:hAnsi="Times New Roman"/>
          <w:color w:val="000000"/>
          <w:sz w:val="20"/>
          <w:szCs w:val="20"/>
        </w:rPr>
        <w:t>”</w:t>
      </w:r>
      <w:r>
        <w:rPr>
          <w:rFonts w:ascii="Times New Roman" w:hAnsi="Times New Roman"/>
          <w:color w:val="000000"/>
          <w:sz w:val="20"/>
          <w:szCs w:val="20"/>
        </w:rPr>
        <w:t xml:space="preserve"> or equivalent terms have the same mea</w:t>
      </w:r>
      <w:r>
        <w:rPr>
          <w:rFonts w:ascii="Times New Roman" w:hAnsi="Times New Roman"/>
          <w:color w:val="000000"/>
          <w:sz w:val="20"/>
          <w:szCs w:val="20"/>
        </w:rPr>
        <w:t>ning.</w:t>
      </w: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hyperlink r:id="rId39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N.J. Stat. Ann. § 2C:2-2</w:t>
        </w:r>
      </w:hyperlink>
      <w:r>
        <w:rPr>
          <w:rFonts w:ascii="Times New Roman" w:hAnsi="Times New Roman"/>
          <w:color w:val="000000"/>
          <w:sz w:val="20"/>
          <w:szCs w:val="20"/>
        </w:rPr>
        <w:t>(b)(3).</w:t>
      </w: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The recklessness required for Pretelt's conviction under New Jersey law is recklessness in r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gard to th</w:t>
      </w:r>
      <w:r>
        <w:rPr>
          <w:rFonts w:ascii="Times New Roman" w:hAnsi="Times New Roman"/>
          <w:color w:val="000000"/>
          <w:sz w:val="20"/>
          <w:szCs w:val="20"/>
        </w:rPr>
        <w:t xml:space="preserve">e life or bodily integrity of another. Accordingly, the BIA did not err in concluding the crime implicated </w:t>
      </w:r>
      <w:r>
        <w:rPr>
          <w:rFonts w:ascii="Times New Roman" w:hAnsi="Times New Roman"/>
          <w:color w:val="000000"/>
          <w:sz w:val="20"/>
          <w:szCs w:val="20"/>
        </w:rPr>
        <w:t>“</w:t>
      </w:r>
      <w:r>
        <w:rPr>
          <w:rFonts w:ascii="Times New Roman" w:hAnsi="Times New Roman"/>
          <w:color w:val="000000"/>
          <w:sz w:val="20"/>
          <w:szCs w:val="20"/>
        </w:rPr>
        <w:t>accepted rules of morality and the duties owed to society.</w:t>
      </w:r>
      <w:r>
        <w:rPr>
          <w:rFonts w:ascii="Times New Roman" w:hAnsi="Times New Roman"/>
          <w:color w:val="000000"/>
          <w:sz w:val="20"/>
          <w:szCs w:val="20"/>
        </w:rPr>
        <w:t>”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*340</w:t>
      </w:r>
      <w:hyperlink r:id="rId40" w:history="1">
        <w:r>
          <w:rPr>
            <w:rFonts w:ascii="Times New Roman" w:hAnsi="Times New Roman"/>
            <w:i/>
            <w:iCs/>
            <w:color w:val="0000FF"/>
            <w:sz w:val="20"/>
            <w:szCs w:val="20"/>
            <w:u w:val="single"/>
          </w:rPr>
          <w:t>Knapik v. As</w:t>
        </w:r>
        <w:r>
          <w:rPr>
            <w:rFonts w:ascii="Times New Roman" w:hAnsi="Times New Roman"/>
            <w:i/>
            <w:iCs/>
            <w:color w:val="0000FF"/>
            <w:sz w:val="20"/>
            <w:szCs w:val="20"/>
            <w:u w:val="single"/>
          </w:rPr>
          <w:t>h</w:t>
        </w:r>
        <w:r>
          <w:rPr>
            <w:rFonts w:ascii="Times New Roman" w:hAnsi="Times New Roman"/>
            <w:i/>
            <w:iCs/>
            <w:color w:val="0000FF"/>
            <w:sz w:val="20"/>
            <w:szCs w:val="20"/>
            <w:u w:val="single"/>
          </w:rPr>
          <w:t>croft,</w:t>
        </w:r>
      </w:hyperlink>
      <w:hyperlink r:id="rId41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 xml:space="preserve"> 384 F.3d 84, 90</w:t>
        </w:r>
        <w:r>
          <w:rPr>
            <w:rFonts w:ascii="Times New Roman" w:hAnsi="Times New Roman"/>
            <w:color w:val="0000FF"/>
            <w:sz w:val="20"/>
            <w:szCs w:val="20"/>
            <w:u w:val="single"/>
          </w:rPr>
          <w:t xml:space="preserve"> (3d Cir.2004)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. In </w:t>
      </w:r>
      <w:hyperlink r:id="rId42" w:history="1">
        <w:r>
          <w:rPr>
            <w:rFonts w:ascii="Times New Roman" w:hAnsi="Times New Roman"/>
            <w:i/>
            <w:iCs/>
            <w:color w:val="0000FF"/>
            <w:sz w:val="20"/>
            <w:szCs w:val="20"/>
            <w:u w:val="single"/>
          </w:rPr>
          <w:t>Knapik,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 we held that the BIA did not act unreasonably in concluding that a first degree reckless endangerment statute, which contain</w:t>
      </w:r>
      <w:r>
        <w:rPr>
          <w:rFonts w:ascii="Times New Roman" w:hAnsi="Times New Roman"/>
          <w:color w:val="000000"/>
          <w:sz w:val="20"/>
          <w:szCs w:val="20"/>
        </w:rPr>
        <w:t xml:space="preserve">ed aggravating factors requiring a defendant to create a </w:t>
      </w:r>
      <w:r>
        <w:rPr>
          <w:rFonts w:ascii="Times New Roman" w:hAnsi="Times New Roman"/>
          <w:color w:val="000000"/>
          <w:sz w:val="20"/>
          <w:szCs w:val="20"/>
        </w:rPr>
        <w:t>“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‘</w:t>
      </w:r>
      <w:r>
        <w:rPr>
          <w:rFonts w:ascii="Times New Roman" w:hAnsi="Times New Roman"/>
          <w:color w:val="000000"/>
          <w:sz w:val="20"/>
          <w:szCs w:val="20"/>
        </w:rPr>
        <w:t>grave risk of death to another person</w:t>
      </w:r>
      <w:r>
        <w:rPr>
          <w:rFonts w:ascii="Times New Roman" w:hAnsi="Times New Roman"/>
          <w:color w:val="000000"/>
          <w:sz w:val="20"/>
          <w:szCs w:val="20"/>
        </w:rPr>
        <w:t>’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”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“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‘</w:t>
      </w:r>
      <w:r>
        <w:rPr>
          <w:rFonts w:ascii="Times New Roman" w:hAnsi="Times New Roman"/>
          <w:color w:val="000000"/>
          <w:sz w:val="20"/>
          <w:szCs w:val="20"/>
        </w:rPr>
        <w:t>under circumstances evincing a depraved indifference to human life,</w:t>
      </w:r>
      <w:r>
        <w:rPr>
          <w:rFonts w:ascii="Times New Roman" w:hAnsi="Times New Roman"/>
          <w:color w:val="000000"/>
          <w:sz w:val="20"/>
          <w:szCs w:val="20"/>
        </w:rPr>
        <w:t>’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”</w:t>
      </w:r>
      <w:r>
        <w:rPr>
          <w:rFonts w:ascii="Times New Roman" w:hAnsi="Times New Roman"/>
          <w:color w:val="000000"/>
          <w:sz w:val="20"/>
          <w:szCs w:val="20"/>
        </w:rPr>
        <w:t xml:space="preserve"> described a crime involving moral turpitude. </w:t>
      </w:r>
      <w:hyperlink r:id="rId43" w:history="1">
        <w:r>
          <w:rPr>
            <w:rFonts w:ascii="Times New Roman" w:hAnsi="Times New Roman"/>
            <w:i/>
            <w:iCs/>
            <w:color w:val="0000FF"/>
            <w:sz w:val="20"/>
            <w:szCs w:val="20"/>
            <w:u w:val="single"/>
          </w:rPr>
          <w:t>Id.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 As we stated in </w:t>
      </w:r>
      <w:hyperlink r:id="rId44" w:history="1">
        <w:r>
          <w:rPr>
            <w:rFonts w:ascii="Times New Roman" w:hAnsi="Times New Roman"/>
            <w:i/>
            <w:iCs/>
            <w:color w:val="0000FF"/>
            <w:sz w:val="20"/>
            <w:szCs w:val="20"/>
            <w:u w:val="single"/>
          </w:rPr>
          <w:t>Partyka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 (citing </w:t>
      </w:r>
      <w:hyperlink r:id="rId45" w:history="1">
        <w:r>
          <w:rPr>
            <w:rFonts w:ascii="Times New Roman" w:hAnsi="Times New Roman"/>
            <w:i/>
            <w:iCs/>
            <w:color w:val="0000FF"/>
            <w:sz w:val="20"/>
            <w:szCs w:val="20"/>
            <w:u w:val="single"/>
          </w:rPr>
          <w:t>Knapik</w:t>
        </w:r>
      </w:hyperlink>
      <w:hyperlink r:id="rId46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 xml:space="preserve"> ),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 we have expressed approval of the BIA's de</w:t>
      </w:r>
      <w:r>
        <w:rPr>
          <w:rFonts w:ascii="Times New Roman" w:hAnsi="Times New Roman"/>
          <w:color w:val="000000"/>
          <w:sz w:val="20"/>
          <w:szCs w:val="20"/>
        </w:rPr>
        <w:t xml:space="preserve">cision to find </w:t>
      </w:r>
      <w:r>
        <w:rPr>
          <w:rFonts w:ascii="Times New Roman" w:hAnsi="Times New Roman"/>
          <w:color w:val="000000"/>
          <w:sz w:val="20"/>
          <w:szCs w:val="20"/>
        </w:rPr>
        <w:t>“</w:t>
      </w:r>
      <w:r>
        <w:rPr>
          <w:rFonts w:ascii="Times New Roman" w:hAnsi="Times New Roman"/>
          <w:color w:val="000000"/>
          <w:sz w:val="20"/>
          <w:szCs w:val="20"/>
        </w:rPr>
        <w:t>moral turpitude to inhere in serious crimes committed recklessly, i.e., with a conscious disregard of a substantial and unju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tifiable risk that serious injury or death would follow.</w:t>
      </w:r>
      <w:r>
        <w:rPr>
          <w:rFonts w:ascii="Times New Roman" w:hAnsi="Times New Roman"/>
          <w:color w:val="000000"/>
          <w:sz w:val="20"/>
          <w:szCs w:val="20"/>
        </w:rPr>
        <w:t>”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hyperlink r:id="rId47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417 F.3d at 414.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 The arson crime at issue in this case, with requisite recklessness in relation to the risk of </w:t>
      </w:r>
      <w:r>
        <w:rPr>
          <w:rFonts w:ascii="Times New Roman" w:hAnsi="Times New Roman"/>
          <w:color w:val="000000"/>
          <w:sz w:val="20"/>
          <w:szCs w:val="20"/>
        </w:rPr>
        <w:lastRenderedPageBreak/>
        <w:t>injury or death, is not sufficiently distinguis</w:t>
      </w:r>
      <w:r>
        <w:rPr>
          <w:rFonts w:ascii="Times New Roman" w:hAnsi="Times New Roman"/>
          <w:color w:val="000000"/>
          <w:sz w:val="20"/>
          <w:szCs w:val="20"/>
        </w:rPr>
        <w:t xml:space="preserve">hable from the crime in </w:t>
      </w:r>
      <w:hyperlink r:id="rId48" w:history="1">
        <w:r>
          <w:rPr>
            <w:rFonts w:ascii="Times New Roman" w:hAnsi="Times New Roman"/>
            <w:i/>
            <w:iCs/>
            <w:color w:val="0000FF"/>
            <w:sz w:val="20"/>
            <w:szCs w:val="20"/>
            <w:u w:val="single"/>
          </w:rPr>
          <w:t>Knapik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 to justify a different result.</w:t>
      </w: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In short, for the reasons stated, we deny the Government's motion to dismiss and we will de</w:t>
      </w:r>
      <w:r>
        <w:rPr>
          <w:rFonts w:ascii="Times New Roman" w:hAnsi="Times New Roman"/>
          <w:color w:val="000000"/>
          <w:sz w:val="20"/>
          <w:szCs w:val="20"/>
        </w:rPr>
        <w:t>ny the petition for review.</w:t>
      </w: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C.A.3,2010.</w:t>
      </w: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Pretelt v. Attorney General Of U.S.</w:t>
      </w: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370 Fed.Appx. 338, 2010 WL 925861 (C.A.3)</w:t>
      </w: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END OF DOCUMENT</w:t>
      </w:r>
    </w:p>
    <w:p w:rsidR="00000000" w:rsidRDefault="00E31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5" w:name="last-page"/>
      <w:bookmarkEnd w:id="5"/>
    </w:p>
    <w:p w:rsidR="00E31188" w:rsidRDefault="00E31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31188">
      <w:headerReference w:type="default" r:id="rId49"/>
      <w:footerReference w:type="default" r:id="rId50"/>
      <w:type w:val="continuous"/>
      <w:pgSz w:w="12240" w:h="15840"/>
      <w:pgMar w:top="2016" w:right="1440" w:bottom="1800" w:left="1440" w:header="720" w:footer="720" w:gutter="0"/>
      <w:cols w:num="2"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188" w:rsidRDefault="00E31188" w:rsidP="00D071DD">
      <w:pPr>
        <w:spacing w:after="0" w:line="240" w:lineRule="auto"/>
      </w:pPr>
      <w:r>
        <w:separator/>
      </w:r>
    </w:p>
  </w:endnote>
  <w:endnote w:type="continuationSeparator" w:id="0">
    <w:p w:rsidR="00E31188" w:rsidRDefault="00E31188" w:rsidP="00D0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31188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00"/>
        <w:sz w:val="24"/>
        <w:szCs w:val="24"/>
      </w:rPr>
    </w:pPr>
    <w:r>
      <w:rPr>
        <w:rFonts w:ascii="Times New Roman" w:hAnsi="Times New Roman"/>
        <w:color w:val="000000"/>
        <w:sz w:val="20"/>
        <w:szCs w:val="20"/>
      </w:rPr>
      <w:t>© 2011 Thomson Reuters. No Claim to Orig. US Gov. Works.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31188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00"/>
        <w:sz w:val="24"/>
        <w:szCs w:val="24"/>
      </w:rPr>
    </w:pPr>
    <w:r>
      <w:rPr>
        <w:rFonts w:ascii="Times New Roman" w:hAnsi="Times New Roman"/>
        <w:color w:val="000000"/>
        <w:sz w:val="20"/>
        <w:szCs w:val="20"/>
      </w:rPr>
      <w:t>© 2011 Thomson Reuters. No Claim to Orig. US Gov. Works.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188" w:rsidRDefault="00E31188" w:rsidP="00D071DD">
      <w:pPr>
        <w:spacing w:after="0" w:line="240" w:lineRule="auto"/>
      </w:pPr>
      <w:r>
        <w:separator/>
      </w:r>
    </w:p>
  </w:footnote>
  <w:footnote w:type="continuationSeparator" w:id="0">
    <w:p w:rsidR="00E31188" w:rsidRDefault="00E31188" w:rsidP="00D07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6480"/>
      <w:gridCol w:w="2880"/>
    </w:tblGrid>
    <w:tr w:rsidR="00000000" w:rsidRPr="00E3118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6480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000000" w:rsidRPr="00E31188" w:rsidRDefault="008545F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Theme="minorEastAsia" w:hAnsi="Arial" w:cs="Arial"/>
              <w:color w:val="000000"/>
              <w:sz w:val="24"/>
              <w:szCs w:val="24"/>
            </w:rPr>
          </w:pPr>
          <w:r w:rsidRPr="00E31188">
            <w:rPr>
              <w:rFonts w:ascii="Times New Roman" w:eastAsiaTheme="minorEastAsia" w:hAnsi="Times New Roman"/>
              <w:color w:val="000000"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54pt;height:27pt">
                <v:imagedata r:id="rId1" o:title=""/>
              </v:shape>
            </w:pict>
          </w:r>
        </w:p>
      </w:tc>
      <w:tc>
        <w:tcPr>
          <w:tcW w:w="2880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000000" w:rsidRPr="00E31188" w:rsidRDefault="00E3118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Theme="minorEastAsia" w:hAnsi="Arial" w:cs="Arial"/>
              <w:color w:val="000000"/>
              <w:sz w:val="24"/>
              <w:szCs w:val="24"/>
            </w:rPr>
          </w:pPr>
        </w:p>
      </w:tc>
    </w:tr>
    <w:tr w:rsidR="00000000" w:rsidRPr="00E3118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6480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000000" w:rsidRPr="00E31188" w:rsidRDefault="00E3118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Theme="minorEastAsia" w:hAnsi="Arial" w:cs="Arial"/>
              <w:color w:val="000000"/>
              <w:sz w:val="24"/>
              <w:szCs w:val="24"/>
            </w:rPr>
          </w:pPr>
          <w:r w:rsidRPr="00E31188">
            <w:rPr>
              <w:rFonts w:ascii="Times New Roman" w:eastAsiaTheme="minorEastAsia" w:hAnsi="Times New Roman"/>
              <w:color w:val="000000"/>
              <w:sz w:val="20"/>
              <w:szCs w:val="20"/>
            </w:rPr>
            <w:t> </w:t>
          </w:r>
        </w:p>
        <w:p w:rsidR="00000000" w:rsidRPr="00E31188" w:rsidRDefault="00E3118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Theme="minorEastAsia" w:hAnsi="Arial" w:cs="Arial"/>
              <w:color w:val="000000"/>
              <w:sz w:val="24"/>
              <w:szCs w:val="24"/>
            </w:rPr>
          </w:pPr>
        </w:p>
      </w:tc>
      <w:tc>
        <w:tcPr>
          <w:tcW w:w="2880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000000" w:rsidRPr="00E31188" w:rsidRDefault="00E3118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eastAsiaTheme="minorEastAsia" w:hAnsi="Arial" w:cs="Arial"/>
              <w:color w:val="000000"/>
              <w:sz w:val="24"/>
              <w:szCs w:val="24"/>
            </w:rPr>
          </w:pPr>
          <w:r w:rsidRPr="00E31188">
            <w:rPr>
              <w:rFonts w:ascii="Times New Roman" w:eastAsiaTheme="minorEastAsia" w:hAnsi="Times New Roman"/>
              <w:color w:val="000000"/>
              <w:sz w:val="20"/>
              <w:szCs w:val="20"/>
            </w:rPr>
            <w:t xml:space="preserve">Page </w:t>
          </w:r>
          <w:r w:rsidRPr="00E31188">
            <w:rPr>
              <w:rFonts w:ascii="Times New Roman" w:eastAsiaTheme="minorEastAsia" w:hAnsi="Times New Roman"/>
              <w:color w:val="000000"/>
              <w:sz w:val="20"/>
              <w:szCs w:val="20"/>
            </w:rPr>
            <w:pgNum/>
          </w:r>
        </w:p>
      </w:tc>
    </w:tr>
    <w:tr w:rsidR="00000000" w:rsidRPr="00E3118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9360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000000" w:rsidRPr="00E31188" w:rsidRDefault="00E3118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Theme="minorEastAsia" w:hAnsi="Arial" w:cs="Arial"/>
              <w:color w:val="000000"/>
              <w:sz w:val="24"/>
              <w:szCs w:val="24"/>
            </w:rPr>
          </w:pPr>
          <w:r w:rsidRPr="00E31188">
            <w:rPr>
              <w:rFonts w:ascii="Times New Roman" w:eastAsiaTheme="minorEastAsia" w:hAnsi="Times New Roman"/>
              <w:color w:val="000000"/>
              <w:sz w:val="20"/>
              <w:szCs w:val="20"/>
            </w:rPr>
            <w:t>370 Fed.Appx. 338, 2010 WL 925861 (C.A.3)</w:t>
          </w:r>
        </w:p>
        <w:p w:rsidR="00000000" w:rsidRPr="00E31188" w:rsidRDefault="00E3118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Theme="minorEastAsia" w:hAnsi="Arial" w:cs="Arial"/>
              <w:color w:val="000000"/>
              <w:sz w:val="24"/>
              <w:szCs w:val="24"/>
            </w:rPr>
          </w:pPr>
          <w:r w:rsidRPr="00E31188">
            <w:rPr>
              <w:rFonts w:ascii="Times New Roman" w:eastAsiaTheme="minorEastAsia" w:hAnsi="Times New Roman"/>
              <w:b/>
              <w:bCs/>
              <w:color w:val="000000"/>
              <w:sz w:val="20"/>
              <w:szCs w:val="20"/>
            </w:rPr>
            <w:t>(Not Selected for publication in the Federal Reporter)</w:t>
          </w:r>
        </w:p>
      </w:tc>
    </w:tr>
    <w:tr w:rsidR="00000000" w:rsidRPr="00E3118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9360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000000" w:rsidRPr="00E31188" w:rsidRDefault="00E3118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Theme="minorEastAsia" w:hAnsi="Arial" w:cs="Arial"/>
              <w:color w:val="000000"/>
              <w:sz w:val="24"/>
              <w:szCs w:val="24"/>
            </w:rPr>
          </w:pPr>
          <w:r w:rsidRPr="00E31188">
            <w:rPr>
              <w:rFonts w:ascii="Times New Roman" w:eastAsiaTheme="minorEastAsia" w:hAnsi="Times New Roman"/>
              <w:b/>
              <w:bCs/>
              <w:color w:val="000000"/>
              <w:sz w:val="20"/>
              <w:szCs w:val="20"/>
            </w:rPr>
            <w:t>(Cite as: 370 Fed.Appx. 338, 2010 WL 925861 (C.A.3))</w: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6480"/>
      <w:gridCol w:w="2880"/>
    </w:tblGrid>
    <w:tr w:rsidR="00000000" w:rsidRPr="00E3118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6480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000000" w:rsidRPr="00E31188" w:rsidRDefault="00E3118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Theme="minorEastAsia" w:hAnsi="Arial" w:cs="Arial"/>
              <w:color w:val="000000"/>
              <w:sz w:val="24"/>
              <w:szCs w:val="24"/>
            </w:rPr>
          </w:pPr>
          <w:r w:rsidRPr="00E31188">
            <w:rPr>
              <w:rFonts w:ascii="Times New Roman" w:eastAsiaTheme="minorEastAsia" w:hAnsi="Times New Roman"/>
              <w:color w:val="000000"/>
              <w:sz w:val="20"/>
              <w:szCs w:val="20"/>
            </w:rPr>
            <w:t> </w:t>
          </w:r>
        </w:p>
        <w:p w:rsidR="00000000" w:rsidRPr="00E31188" w:rsidRDefault="00E3118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Theme="minorEastAsia" w:hAnsi="Arial" w:cs="Arial"/>
              <w:color w:val="000000"/>
              <w:sz w:val="24"/>
              <w:szCs w:val="24"/>
            </w:rPr>
          </w:pPr>
        </w:p>
      </w:tc>
      <w:tc>
        <w:tcPr>
          <w:tcW w:w="2880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000000" w:rsidRPr="00E31188" w:rsidRDefault="00E3118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eastAsiaTheme="minorEastAsia" w:hAnsi="Arial" w:cs="Arial"/>
              <w:color w:val="000000"/>
              <w:sz w:val="24"/>
              <w:szCs w:val="24"/>
            </w:rPr>
          </w:pPr>
          <w:r w:rsidRPr="00E31188">
            <w:rPr>
              <w:rFonts w:ascii="Times New Roman" w:eastAsiaTheme="minorEastAsia" w:hAnsi="Times New Roman"/>
              <w:color w:val="000000"/>
              <w:sz w:val="20"/>
              <w:szCs w:val="20"/>
            </w:rPr>
            <w:t xml:space="preserve">Page </w:t>
          </w:r>
          <w:r w:rsidRPr="00E31188">
            <w:rPr>
              <w:rFonts w:ascii="Times New Roman" w:eastAsiaTheme="minorEastAsia" w:hAnsi="Times New Roman"/>
              <w:color w:val="000000"/>
              <w:sz w:val="20"/>
              <w:szCs w:val="20"/>
            </w:rPr>
            <w:pgNum/>
          </w:r>
        </w:p>
      </w:tc>
    </w:tr>
    <w:tr w:rsidR="00000000" w:rsidRPr="00E3118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9360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000000" w:rsidRPr="00E31188" w:rsidRDefault="00E3118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Theme="minorEastAsia" w:hAnsi="Arial" w:cs="Arial"/>
              <w:color w:val="000000"/>
              <w:sz w:val="24"/>
              <w:szCs w:val="24"/>
            </w:rPr>
          </w:pPr>
          <w:r w:rsidRPr="00E31188">
            <w:rPr>
              <w:rFonts w:ascii="Times New Roman" w:eastAsiaTheme="minorEastAsia" w:hAnsi="Times New Roman"/>
              <w:color w:val="000000"/>
              <w:sz w:val="20"/>
              <w:szCs w:val="20"/>
            </w:rPr>
            <w:t>370 Fed.Appx. 338, 2010 WL 925861 (C.A.3)</w:t>
          </w:r>
        </w:p>
        <w:p w:rsidR="00000000" w:rsidRPr="00E31188" w:rsidRDefault="00E3118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Theme="minorEastAsia" w:hAnsi="Arial" w:cs="Arial"/>
              <w:color w:val="000000"/>
              <w:sz w:val="24"/>
              <w:szCs w:val="24"/>
            </w:rPr>
          </w:pPr>
          <w:r w:rsidRPr="00E31188">
            <w:rPr>
              <w:rFonts w:ascii="Times New Roman" w:eastAsiaTheme="minorEastAsia" w:hAnsi="Times New Roman"/>
              <w:b/>
              <w:bCs/>
              <w:color w:val="000000"/>
              <w:sz w:val="20"/>
              <w:szCs w:val="20"/>
            </w:rPr>
            <w:t>(Not Selected for publication in the Federal Reporter)</w:t>
          </w:r>
        </w:p>
      </w:tc>
    </w:tr>
    <w:tr w:rsidR="00000000" w:rsidRPr="00E3118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9360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000000" w:rsidRPr="00E31188" w:rsidRDefault="00E3118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Theme="minorEastAsia" w:hAnsi="Arial" w:cs="Arial"/>
              <w:color w:val="000000"/>
              <w:sz w:val="24"/>
              <w:szCs w:val="24"/>
            </w:rPr>
          </w:pPr>
          <w:r w:rsidRPr="00E31188">
            <w:rPr>
              <w:rFonts w:ascii="Times New Roman" w:eastAsiaTheme="minorEastAsia" w:hAnsi="Times New Roman"/>
              <w:b/>
              <w:bCs/>
              <w:color w:val="000000"/>
              <w:sz w:val="20"/>
              <w:szCs w:val="20"/>
            </w:rPr>
            <w:t>(Cite as: 370 Fed.Appx. 338, 2010 WL 925861 (C.A.3))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5FD"/>
    <w:rsid w:val="008545FD"/>
    <w:rsid w:val="00E31188"/>
    <w:rsid w:val="00FC1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estlaw.com/KeyNumber/Default.wl?rs=dfa1.0&amp;vr=2.0&amp;CMD=KEY&amp;DocName=24V%28C%29" TargetMode="External"/><Relationship Id="rId18" Type="http://schemas.openxmlformats.org/officeDocument/2006/relationships/hyperlink" Target="http://www.westlaw.com/Find/Default.wl?rs=dfa1.0&amp;vr=2.0&amp;DB=1000045&amp;DocName=NJST2C%3A2-6&amp;FindType=L" TargetMode="External"/><Relationship Id="rId26" Type="http://schemas.openxmlformats.org/officeDocument/2006/relationships/hyperlink" Target="http://www.westlaw.com/Find/Default.wl?rs=dfa1.0&amp;vr=2.0&amp;DB=1000045&amp;DocName=NJST2C%3A2-6&amp;FindType=L" TargetMode="External"/><Relationship Id="rId39" Type="http://schemas.openxmlformats.org/officeDocument/2006/relationships/hyperlink" Target="http://www.westlaw.com/Find/Default.wl?rs=dfa1.0&amp;vr=2.0&amp;DB=1000045&amp;DocName=NJST2C%3A2-2&amp;FindType=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westlaw.com/Find/Default.wl?rs=dfa1.0&amp;vr=2.0&amp;DB=PROFILER-WLD&amp;DocName=0216113001&amp;FindType=h" TargetMode="External"/><Relationship Id="rId34" Type="http://schemas.openxmlformats.org/officeDocument/2006/relationships/hyperlink" Target="http://www.westlaw.com/Find/Default.wl?rs=dfa1.0&amp;vr=2.0&amp;FindType=Y&amp;SerialNum=2007113829" TargetMode="External"/><Relationship Id="rId42" Type="http://schemas.openxmlformats.org/officeDocument/2006/relationships/hyperlink" Target="http://www.westlaw.com/Find/Default.wl?rs=dfa1.0&amp;vr=2.0&amp;FindType=Y&amp;SerialNum=2005115334" TargetMode="External"/><Relationship Id="rId47" Type="http://schemas.openxmlformats.org/officeDocument/2006/relationships/hyperlink" Target="http://www.westlaw.com/Find/Default.wl?rs=dfa1.0&amp;vr=2.0&amp;DB=506&amp;FindType=Y&amp;ReferencePositionType=S&amp;SerialNum=2007113829&amp;ReferencePosition=414" TargetMode="External"/><Relationship Id="rId50" Type="http://schemas.openxmlformats.org/officeDocument/2006/relationships/footer" Target="footer2.xml"/><Relationship Id="rId7" Type="http://schemas.openxmlformats.org/officeDocument/2006/relationships/header" Target="header1.xml"/><Relationship Id="rId12" Type="http://schemas.openxmlformats.org/officeDocument/2006/relationships/hyperlink" Target="http://www.westlaw.com/KeyNumber/Default.wl?rs=dfa1.0&amp;vr=2.0&amp;CMD=KEY&amp;DocName=24V" TargetMode="External"/><Relationship Id="rId17" Type="http://schemas.openxmlformats.org/officeDocument/2006/relationships/hyperlink" Target="http://www.westlaw.com/Find/Default.wl?rs=dfa1.0&amp;vr=2.0&amp;DB=1000546&amp;DocName=8USCAS1227&amp;FindType=L&amp;ReferencePositionType=T&amp;ReferencePosition=SP_95ce0000c0aa5" TargetMode="External"/><Relationship Id="rId25" Type="http://schemas.openxmlformats.org/officeDocument/2006/relationships/hyperlink" Target="http://www.westlaw.com/Find/Default.wl?rs=dfa1.0&amp;vr=2.0&amp;DB=1000045&amp;DocName=NJST2C%3A17-1&amp;FindType=L" TargetMode="External"/><Relationship Id="rId33" Type="http://schemas.openxmlformats.org/officeDocument/2006/relationships/hyperlink" Target="http://www.westlaw.com/Find/Default.wl?rs=dfa1.0&amp;vr=2.0&amp;DB=1000045&amp;DocName=NJST2C%3A43-6&amp;FindType=L" TargetMode="External"/><Relationship Id="rId38" Type="http://schemas.openxmlformats.org/officeDocument/2006/relationships/hyperlink" Target="http://www.westlaw.com/Find/Default.wl?rs=dfa1.0&amp;vr=2.0&amp;DB=1000045&amp;DocName=NJST2C%3A17-1&amp;FindType=L" TargetMode="External"/><Relationship Id="rId46" Type="http://schemas.openxmlformats.org/officeDocument/2006/relationships/hyperlink" Target="http://www.westlaw.com/Find/Default.wl?rs=dfa1.0&amp;vr=2.0&amp;FindType=Y&amp;SerialNum=200511533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estlaw.com/Digest/Default.wl?rs=dfa1.0&amp;vr=2.0&amp;CMD=MCC&amp;DocName=24k272" TargetMode="External"/><Relationship Id="rId20" Type="http://schemas.openxmlformats.org/officeDocument/2006/relationships/hyperlink" Target="http://www.westlaw.com/Find/Default.wl?rs=dfa1.0&amp;vr=2.0&amp;DB=PROFILER-WLD&amp;DocName=0341753901&amp;FindType=h" TargetMode="External"/><Relationship Id="rId29" Type="http://schemas.openxmlformats.org/officeDocument/2006/relationships/hyperlink" Target="http://www.westlaw.com/Find/Default.wl?rs=dfa1.0&amp;vr=2.0&amp;DB=1000045&amp;DocName=NJST2C%3A17-1&amp;FindType=L" TargetMode="External"/><Relationship Id="rId41" Type="http://schemas.openxmlformats.org/officeDocument/2006/relationships/hyperlink" Target="http://www.westlaw.com/Find/Default.wl?rs=dfa1.0&amp;vr=2.0&amp;DB=506&amp;FindType=Y&amp;ReferencePositionType=S&amp;SerialNum=2005115334&amp;ReferencePosition=9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estlaw.com/KeyNumber/Default.wl?rs=dfa1.0&amp;vr=2.0&amp;CMD=KEY&amp;DocName=24" TargetMode="External"/><Relationship Id="rId24" Type="http://schemas.openxmlformats.org/officeDocument/2006/relationships/hyperlink" Target="http://www.westlaw.com/Find/Default.wl?rs=dfa1.0&amp;vr=2.0&amp;DB=PROFILER-WLD&amp;DocName=0115484401&amp;FindType=h" TargetMode="External"/><Relationship Id="rId32" Type="http://schemas.openxmlformats.org/officeDocument/2006/relationships/hyperlink" Target="http://www.westlaw.com/Find/Default.wl?rs=dfa1.0&amp;vr=2.0&amp;DB=506&amp;FindType=Y&amp;ReferencePositionType=S&amp;SerialNum=2010219832&amp;ReferencePosition=291" TargetMode="External"/><Relationship Id="rId37" Type="http://schemas.openxmlformats.org/officeDocument/2006/relationships/hyperlink" Target="http://www.westlaw.com/Find/Default.wl?rs=dfa1.0&amp;vr=2.0&amp;DB=506&amp;FindType=Y&amp;ReferencePositionType=S&amp;SerialNum=2019957979&amp;ReferencePosition=466" TargetMode="External"/><Relationship Id="rId40" Type="http://schemas.openxmlformats.org/officeDocument/2006/relationships/hyperlink" Target="http://www.westlaw.com/Find/Default.wl?rs=dfa1.0&amp;vr=2.0&amp;DB=506&amp;FindType=Y&amp;ReferencePositionType=S&amp;SerialNum=2005115334&amp;ReferencePosition=90" TargetMode="External"/><Relationship Id="rId45" Type="http://schemas.openxmlformats.org/officeDocument/2006/relationships/hyperlink" Target="http://www.westlaw.com/Find/Default.wl?rs=dfa1.0&amp;vr=2.0&amp;FindType=Y&amp;SerialNum=20051153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westlaw.com/KeyNumber/Default.wl?rs=dfa1.0&amp;vr=2.0&amp;CMD=KEY&amp;DocName=24k272" TargetMode="External"/><Relationship Id="rId23" Type="http://schemas.openxmlformats.org/officeDocument/2006/relationships/hyperlink" Target="http://www.westlaw.com/Find/Default.wl?rs=dfa1.0&amp;vr=2.0&amp;DB=PROFILER-WLD&amp;DocName=0152999801&amp;FindType=h" TargetMode="External"/><Relationship Id="rId28" Type="http://schemas.openxmlformats.org/officeDocument/2006/relationships/hyperlink" Target="http://www.westlaw.com/Find/Default.wl?rs=dfa1.0&amp;vr=2.0&amp;DB=1000045&amp;DocName=NJST2C%3A2-6&amp;FindType=L" TargetMode="External"/><Relationship Id="rId36" Type="http://schemas.openxmlformats.org/officeDocument/2006/relationships/hyperlink" Target="http://www.westlaw.com/Find/Default.wl?rs=dfa1.0&amp;vr=2.0&amp;DB=506&amp;FindType=Y&amp;ReferencePositionType=S&amp;SerialNum=2019957979&amp;ReferencePosition=466" TargetMode="External"/><Relationship Id="rId49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hyperlink" Target="http://www.westlaw.com/Find/Default.wl?rs=dfa1.0&amp;vr=2.0&amp;DB=1000045&amp;DocName=NJST2C%3A17-1&amp;FindType=L" TargetMode="External"/><Relationship Id="rId31" Type="http://schemas.openxmlformats.org/officeDocument/2006/relationships/hyperlink" Target="http://www.westlaw.com/Find/Default.wl?rs=dfa1.0&amp;vr=2.0&amp;DB=506&amp;FindType=Y&amp;ReferencePositionType=S&amp;SerialNum=2010219832&amp;ReferencePosition=291" TargetMode="External"/><Relationship Id="rId44" Type="http://schemas.openxmlformats.org/officeDocument/2006/relationships/hyperlink" Target="http://www.westlaw.com/Find/Default.wl?rs=dfa1.0&amp;vr=2.0&amp;FindType=Y&amp;SerialNum=2007113829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westlaw.com/KeyNumber/Default.wl?rs=dfa1.0&amp;vr=2.0&amp;CMD=KEY&amp;DocName=24k270" TargetMode="External"/><Relationship Id="rId22" Type="http://schemas.openxmlformats.org/officeDocument/2006/relationships/hyperlink" Target="http://www.westlaw.com/Find/Default.wl?rs=dfa1.0&amp;vr=2.0&amp;DB=PROFILER-WLD&amp;DocName=0179501901&amp;FindType=h" TargetMode="External"/><Relationship Id="rId27" Type="http://schemas.openxmlformats.org/officeDocument/2006/relationships/hyperlink" Target="http://www.westlaw.com/Find/Default.wl?rs=dfa1.0&amp;vr=2.0&amp;DB=1000546&amp;DocName=8USCAS1227&amp;FindType=L&amp;ReferencePositionType=T&amp;ReferencePosition=SP_95ce0000c0aa5" TargetMode="External"/><Relationship Id="rId30" Type="http://schemas.openxmlformats.org/officeDocument/2006/relationships/hyperlink" Target="http://www.westlaw.com/Find/Default.wl?rs=dfa1.0&amp;vr=2.0&amp;DB=1000546&amp;DocName=8USCAS1252&amp;FindType=L&amp;ReferencePositionType=T&amp;ReferencePosition=SP_fe00000056fa7" TargetMode="External"/><Relationship Id="rId35" Type="http://schemas.openxmlformats.org/officeDocument/2006/relationships/hyperlink" Target="http://www.westlaw.com/Find/Default.wl?rs=dfa1.0&amp;vr=2.0&amp;DB=506&amp;FindType=Y&amp;ReferencePositionType=S&amp;SerialNum=2007113829&amp;ReferencePosition=412" TargetMode="External"/><Relationship Id="rId43" Type="http://schemas.openxmlformats.org/officeDocument/2006/relationships/hyperlink" Target="http://www.westlaw.com/Find/Default.wl?rs=dfa1.0&amp;vr=2.0&amp;FindType=Y&amp;SerialNum=2005115334" TargetMode="External"/><Relationship Id="rId48" Type="http://schemas.openxmlformats.org/officeDocument/2006/relationships/hyperlink" Target="http://www.westlaw.com/Find/Default.wl?rs=dfa1.0&amp;vr=2.0&amp;FindType=Y&amp;SerialNum=2005115334" TargetMode="External"/><Relationship Id="rId8" Type="http://schemas.openxmlformats.org/officeDocument/2006/relationships/footer" Target="footer1.xml"/><Relationship Id="rId5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1917</Words>
  <Characters>10931</Characters>
  <Application>Microsoft Office Word</Application>
  <DocSecurity>0</DocSecurity>
  <Lines>91</Lines>
  <Paragraphs>25</Paragraphs>
  <ScaleCrop>false</ScaleCrop>
  <Company>Microsoft</Company>
  <LinksUpToDate>false</LinksUpToDate>
  <CharactersWithSpaces>12823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11.5.2.1.V2</dc:creator>
  <cp:lastModifiedBy>Ron</cp:lastModifiedBy>
  <cp:revision>2</cp:revision>
  <dcterms:created xsi:type="dcterms:W3CDTF">2011-05-27T21:10:00Z</dcterms:created>
  <dcterms:modified xsi:type="dcterms:W3CDTF">2011-05-27T21:10:00Z</dcterms:modified>
</cp:coreProperties>
</file>